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A090BC">
      <w:r>
        <w:rPr>
          <w:sz w:val="20"/>
        </w:rPr>
        <mc:AlternateContent>
          <mc:Choice Requires="wps">
            <w:drawing>
              <wp:anchor distT="0" distB="0" distL="114300" distR="114300" simplePos="0" relativeHeight="251659264" behindDoc="0" locked="0" layoutInCell="1" allowOverlap="1">
                <wp:simplePos x="0" y="0"/>
                <wp:positionH relativeFrom="column">
                  <wp:posOffset>1905</wp:posOffset>
                </wp:positionH>
                <wp:positionV relativeFrom="paragraph">
                  <wp:posOffset>777240</wp:posOffset>
                </wp:positionV>
                <wp:extent cx="6198870" cy="795655"/>
                <wp:effectExtent l="4445" t="4445" r="14605" b="7620"/>
                <wp:wrapNone/>
                <wp:docPr id="3" name="Text Box 3"/>
                <wp:cNvGraphicFramePr/>
                <a:graphic xmlns:a="http://schemas.openxmlformats.org/drawingml/2006/main">
                  <a:graphicData uri="http://schemas.microsoft.com/office/word/2010/wordprocessingShape">
                    <wps:wsp>
                      <wps:cNvSpPr txBox="1"/>
                      <wps:spPr>
                        <a:xfrm>
                          <a:off x="721995" y="1482725"/>
                          <a:ext cx="6198870" cy="795655"/>
                        </a:xfrm>
                        <a:prstGeom prst="rect">
                          <a:avLst/>
                        </a:prstGeom>
                        <a:solidFill>
                          <a:srgbClr val="0A294C"/>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AF14956">
                            <w:pPr>
                              <w:rPr>
                                <w:rFonts w:hint="default"/>
                                <w:color w:val="0A294C"/>
                                <w:lang w:val="en-US"/>
                              </w:rPr>
                            </w:pPr>
                          </w:p>
                          <w:p w14:paraId="6CFDA3BF">
                            <w:pPr>
                              <w:jc w:val="center"/>
                              <w:rPr>
                                <w:rFonts w:hint="default" w:ascii="Arial Black" w:hAnsi="Arial Black" w:cs="Arial Black"/>
                                <w:color w:val="F2F2F2" w:themeColor="background1" w:themeShade="F2"/>
                                <w:lang w:val="en-US"/>
                              </w:rPr>
                            </w:pPr>
                            <w:r>
                              <w:rPr>
                                <w:rFonts w:hint="default" w:ascii="Arial Black" w:hAnsi="Arial Black" w:cs="Arial Black"/>
                                <w:color w:val="F2F2F2" w:themeColor="background1" w:themeShade="F2"/>
                                <w:sz w:val="36"/>
                                <w:szCs w:val="36"/>
                                <w:lang w:val="en-US"/>
                              </w:rPr>
                              <w:t>WEEKLY TOP PERFORMING ETFS</w:t>
                            </w:r>
                          </w:p>
                          <w:p w14:paraId="06102971">
                            <w:pPr>
                              <w:jc w:val="center"/>
                              <w:rPr>
                                <w:rFonts w:hint="default"/>
                                <w:lang w:val="en-US"/>
                              </w:rPr>
                            </w:pPr>
                            <w:r>
                              <w:rPr>
                                <w:rFonts w:hint="default" w:ascii="Arial" w:hAnsi="Arial" w:cs="Arial"/>
                                <w:b/>
                                <w:bCs/>
                                <w:color w:val="F2F2F2" w:themeColor="background1" w:themeShade="F2"/>
                                <w:sz w:val="28"/>
                                <w:szCs w:val="28"/>
                                <w:lang w:val="en-US"/>
                              </w:rPr>
                              <w:t>AS OF THE CLOSE ON 07/01/26</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15pt;margin-top:61.2pt;height:62.65pt;width:488.1pt;z-index:251659264;mso-width-relative:page;mso-height-relative:page;" fillcolor="#0A294C" filled="t" stroked="t" coordsize="21600,21600" o:gfxdata="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Nr1FENgAAAAI&#10;AQAADwAAAAAAAAABACAAAAAiAAAAZHJzL2Rvd25yZXYueG1sUEsBAhQAFAAAAAgAh07iQL6Ho3dV&#10;AgAAwQQAAA4AAAAAAAAAAQAgAAAAJwEAAGRycy9lMm9Eb2MueG1sUEsFBgAAAAAGAAYAWQEAAO4F&#10;AAAAAA==&#10;">
                <v:fill on="t" focussize="0,0"/>
                <v:stroke weight="0.5pt" color="#000000 [3204]" joinstyle="round"/>
                <v:imagedata o:title=""/>
                <o:lock v:ext="edit" aspectratio="f"/>
                <v:textbox>
                  <w:txbxContent>
                    <w:p w14:paraId="5AF14956">
                      <w:pPr>
                        <w:rPr>
                          <w:rFonts w:hint="default"/>
                          <w:color w:val="0A294C"/>
                          <w:lang w:val="en-US"/>
                        </w:rPr>
                      </w:pPr>
                    </w:p>
                    <w:p w14:paraId="6CFDA3BF">
                      <w:pPr>
                        <w:jc w:val="center"/>
                        <w:rPr>
                          <w:rFonts w:hint="default" w:ascii="Arial Black" w:hAnsi="Arial Black" w:cs="Arial Black"/>
                          <w:color w:val="F2F2F2" w:themeColor="background1" w:themeShade="F2"/>
                          <w:lang w:val="en-US"/>
                        </w:rPr>
                      </w:pPr>
                      <w:r>
                        <w:rPr>
                          <w:rFonts w:hint="default" w:ascii="Arial Black" w:hAnsi="Arial Black" w:cs="Arial Black"/>
                          <w:color w:val="F2F2F2" w:themeColor="background1" w:themeShade="F2"/>
                          <w:sz w:val="36"/>
                          <w:szCs w:val="36"/>
                          <w:lang w:val="en-US"/>
                        </w:rPr>
                        <w:t>WEEKLY TOP PERFORMING ETFS</w:t>
                      </w:r>
                    </w:p>
                    <w:p w14:paraId="06102971">
                      <w:pPr>
                        <w:jc w:val="center"/>
                        <w:rPr>
                          <w:rFonts w:hint="default"/>
                          <w:lang w:val="en-US"/>
                        </w:rPr>
                      </w:pPr>
                      <w:r>
                        <w:rPr>
                          <w:rFonts w:hint="default" w:ascii="Arial" w:hAnsi="Arial" w:cs="Arial"/>
                          <w:b/>
                          <w:bCs/>
                          <w:color w:val="F2F2F2" w:themeColor="background1" w:themeShade="F2"/>
                          <w:sz w:val="28"/>
                          <w:szCs w:val="28"/>
                          <w:lang w:val="en-US"/>
                        </w:rPr>
                        <w:t>AS OF THE CLOSE ON 07/01/26</w:t>
                      </w:r>
                    </w:p>
                  </w:txbxContent>
                </v:textbox>
              </v:shape>
            </w:pict>
          </mc:Fallback>
        </mc:AlternateContent>
      </w:r>
      <w:r>
        <w:rPr>
          <w:bdr w:val="single" w:sz="4" w:space="0"/>
        </w:rPr>
        <w:drawing>
          <wp:inline distT="0" distB="0" distL="114300" distR="114300">
            <wp:extent cx="6206490" cy="904875"/>
            <wp:effectExtent l="0" t="0" r="1143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
                    <a:stretch>
                      <a:fillRect/>
                    </a:stretch>
                  </pic:blipFill>
                  <pic:spPr>
                    <a:xfrm>
                      <a:off x="0" y="0"/>
                      <a:ext cx="6206490" cy="904875"/>
                    </a:xfrm>
                    <a:prstGeom prst="rect">
                      <a:avLst/>
                    </a:prstGeom>
                    <a:noFill/>
                    <a:ln>
                      <a:noFill/>
                    </a:ln>
                  </pic:spPr>
                </pic:pic>
              </a:graphicData>
            </a:graphic>
          </wp:inline>
        </w:drawing>
      </w:r>
    </w:p>
    <w:p w14:paraId="7CB59789">
      <w:pPr>
        <w:rPr>
          <w14:textOutline w14:w="9525">
            <w14:solidFill>
              <w14:schemeClr w14:val="tx1"/>
            </w14:solidFill>
            <w14:round/>
          </w14:textOutline>
        </w:rPr>
      </w:pPr>
    </w:p>
    <w:p w14:paraId="35BC0BBF"/>
    <w:p w14:paraId="664DA590"/>
    <w:p w14:paraId="79733A91"/>
    <w:p w14:paraId="38A33A98"/>
    <w:p w14:paraId="02BD6145"/>
    <w:p w14:paraId="2EB01C93">
      <w:pPr>
        <w:rPr>
          <w:rFonts w:ascii="Arial" w:hAnsi="Arial" w:cs="Arial"/>
          <w:sz w:val="22"/>
          <w:szCs w:val="22"/>
        </w:rPr>
      </w:pPr>
      <w:r>
        <w:rPr>
          <w:rFonts w:ascii="Arial" w:hAnsi="Arial" w:cs="Arial"/>
          <w:sz w:val="22"/>
          <w:szCs w:val="22"/>
        </w:rPr>
        <w:t xml:space="preserve">Each </w:t>
      </w:r>
      <w:r>
        <w:rPr>
          <w:rFonts w:ascii="Arial" w:hAnsi="Arial" w:cs="Arial"/>
          <w:sz w:val="22"/>
          <w:szCs w:val="22"/>
          <w:lang w:val="en-US"/>
        </w:rPr>
        <w:t>week,</w:t>
      </w:r>
      <w:r>
        <w:rPr>
          <w:rFonts w:ascii="Arial" w:hAnsi="Arial" w:cs="Arial"/>
          <w:sz w:val="22"/>
          <w:szCs w:val="22"/>
        </w:rPr>
        <w:t xml:space="preserve"> the BCI Team will screen ETFs (which also have options) from all asset classes and locate the </w:t>
      </w:r>
      <w:r>
        <w:rPr>
          <w:rFonts w:ascii="Arial" w:hAnsi="Arial" w:cs="Arial"/>
          <w:sz w:val="22"/>
          <w:szCs w:val="22"/>
          <w:lang w:val="en-US"/>
        </w:rPr>
        <w:t xml:space="preserve">top </w:t>
      </w:r>
      <w:r>
        <w:rPr>
          <w:rFonts w:ascii="Arial" w:hAnsi="Arial" w:cs="Arial"/>
          <w:sz w:val="22"/>
          <w:szCs w:val="22"/>
        </w:rPr>
        <w:t xml:space="preserve">performers over the past 1 and 3-month periods. </w:t>
      </w:r>
      <w:r>
        <w:rPr>
          <w:rFonts w:ascii="Arial" w:hAnsi="Arial" w:cs="Arial"/>
          <w:sz w:val="22"/>
          <w:szCs w:val="22"/>
          <w:u w:val="single"/>
        </w:rPr>
        <w:t>All selected ETFs have RS ratings of 60 or better over the past 3 months (unless otherwise stated)</w:t>
      </w:r>
      <w:r>
        <w:rPr>
          <w:rFonts w:ascii="Arial" w:hAnsi="Arial" w:cs="Arial"/>
          <w:sz w:val="22"/>
          <w:szCs w:val="22"/>
        </w:rPr>
        <w:t xml:space="preserve">. </w:t>
      </w:r>
      <w:r>
        <w:rPr>
          <w:rFonts w:ascii="Arial" w:hAnsi="Arial" w:cs="Arial"/>
          <w:sz w:val="22"/>
          <w:szCs w:val="22"/>
          <w:highlight w:val="yellow"/>
        </w:rPr>
        <w:t xml:space="preserve">1-week returns are not part of the screening process </w:t>
      </w:r>
      <w:r>
        <w:rPr>
          <w:rFonts w:ascii="Arial" w:hAnsi="Arial" w:cs="Arial"/>
          <w:sz w:val="22"/>
          <w:szCs w:val="22"/>
          <w:highlight w:val="yellow"/>
          <w:lang w:val="en-US"/>
        </w:rPr>
        <w:t xml:space="preserve">but are </w:t>
      </w:r>
      <w:r>
        <w:rPr>
          <w:rFonts w:ascii="Arial" w:hAnsi="Arial" w:cs="Arial"/>
          <w:sz w:val="22"/>
          <w:szCs w:val="22"/>
          <w:highlight w:val="yellow"/>
        </w:rPr>
        <w:t xml:space="preserve">available as </w:t>
      </w:r>
      <w:r>
        <w:rPr>
          <w:rFonts w:ascii="Arial" w:hAnsi="Arial" w:cs="Arial"/>
          <w:sz w:val="22"/>
          <w:szCs w:val="22"/>
          <w:highlight w:val="yellow"/>
          <w:lang w:val="en-US"/>
        </w:rPr>
        <w:t>additional information</w:t>
      </w:r>
      <w:r>
        <w:rPr>
          <w:rFonts w:ascii="Arial" w:hAnsi="Arial" w:cs="Arial"/>
          <w:sz w:val="22"/>
          <w:szCs w:val="22"/>
        </w:rPr>
        <w:t xml:space="preserve">.RS rating is in the context of all securities with minimum trading requirements. We also screen the S&amp;P 500 Sector ETFs as well as publish the data on 4 inverse ETFs. ETFs with low trading volume (less than 250k/day) and leveraged ETFs are eliminated (with the exception of inverse ETFs to be used only in extreme bear markets). </w:t>
      </w:r>
      <w:r>
        <w:rPr>
          <w:rFonts w:ascii="Arial" w:hAnsi="Arial" w:cs="Arial"/>
          <w:b/>
          <w:sz w:val="22"/>
          <w:szCs w:val="22"/>
        </w:rPr>
        <w:t>We also screen for adequate open interest at the time of the screening (100 contracts or more of OI and/or a bid-ask spread of $0.30 or less for near-the-money strikes).</w:t>
      </w:r>
      <w:r>
        <w:rPr>
          <w:rFonts w:ascii="Arial" w:hAnsi="Arial" w:cs="Arial"/>
          <w:sz w:val="22"/>
          <w:szCs w:val="22"/>
        </w:rPr>
        <w:t xml:space="preserve">  </w:t>
      </w:r>
    </w:p>
    <w:p w14:paraId="326F2BA5">
      <w:pPr>
        <w:rPr>
          <w:rFonts w:ascii="Arial" w:hAnsi="Arial" w:cs="Arial"/>
          <w:sz w:val="22"/>
          <w:szCs w:val="22"/>
        </w:rPr>
      </w:pPr>
    </w:p>
    <w:p w14:paraId="67D54B0F">
      <w:pPr>
        <w:ind w:firstLine="4076" w:firstLineChars="1450"/>
        <w:jc w:val="both"/>
        <w:rPr>
          <w:rFonts w:hint="default" w:ascii="Arial" w:hAnsi="Arial" w:cs="Arial"/>
          <w:i w:val="0"/>
          <w:iCs w:val="0"/>
          <w:sz w:val="22"/>
          <w:szCs w:val="22"/>
          <w:lang w:val="en-US"/>
        </w:rPr>
      </w:pPr>
      <w:r>
        <w:rPr>
          <w:rFonts w:ascii="Arial" w:hAnsi="Arial" w:cs="Arial"/>
          <w:b/>
          <w:bCs/>
          <w:i w:val="0"/>
          <w:iCs w:val="0"/>
          <w:sz w:val="28"/>
          <w:szCs w:val="28"/>
        </w:rPr>
        <w:t>Spreadsheet Key</w:t>
      </w:r>
      <w:r>
        <w:rPr>
          <w:rFonts w:hint="default" w:ascii="Arial" w:hAnsi="Arial" w:cs="Arial"/>
          <w:b/>
          <w:bCs/>
          <w:i w:val="0"/>
          <w:iCs w:val="0"/>
          <w:sz w:val="28"/>
          <w:szCs w:val="28"/>
          <w:lang w:val="en-US"/>
        </w:rPr>
        <w:t>:</w:t>
      </w:r>
    </w:p>
    <w:p w14:paraId="4076E48B">
      <w:pPr>
        <w:numPr>
          <w:ilvl w:val="0"/>
          <w:numId w:val="1"/>
        </w:numPr>
        <w:ind w:left="1980" w:leftChars="0"/>
        <w:rPr>
          <w:rFonts w:ascii="Arial" w:hAnsi="Arial" w:cs="Arial"/>
          <w:sz w:val="22"/>
          <w:szCs w:val="22"/>
        </w:rPr>
      </w:pPr>
      <w:r>
        <w:rPr>
          <w:rFonts w:ascii="Arial" w:hAnsi="Arial" w:cs="Arial"/>
          <w:sz w:val="22"/>
          <w:szCs w:val="22"/>
          <w:highlight w:val="yellow"/>
        </w:rPr>
        <w:t>ETF name</w:t>
      </w:r>
    </w:p>
    <w:p w14:paraId="15486712">
      <w:pPr>
        <w:numPr>
          <w:ilvl w:val="0"/>
          <w:numId w:val="1"/>
        </w:numPr>
        <w:ind w:left="1980" w:leftChars="0"/>
        <w:rPr>
          <w:rFonts w:ascii="Arial" w:hAnsi="Arial" w:cs="Arial"/>
          <w:sz w:val="22"/>
          <w:szCs w:val="22"/>
        </w:rPr>
      </w:pPr>
      <w:r>
        <w:rPr>
          <w:rFonts w:ascii="Arial" w:hAnsi="Arial" w:cs="Arial"/>
          <w:sz w:val="22"/>
          <w:szCs w:val="22"/>
          <w:highlight w:val="yellow"/>
        </w:rPr>
        <w:t>ETF ticker symbol</w:t>
      </w:r>
    </w:p>
    <w:p w14:paraId="5AB647EA">
      <w:pPr>
        <w:numPr>
          <w:ilvl w:val="0"/>
          <w:numId w:val="1"/>
        </w:numPr>
        <w:ind w:left="1980" w:leftChars="0"/>
        <w:rPr>
          <w:rFonts w:ascii="Arial" w:hAnsi="Arial" w:cs="Arial"/>
          <w:sz w:val="22"/>
          <w:szCs w:val="22"/>
        </w:rPr>
      </w:pPr>
      <w:r>
        <w:rPr>
          <w:rFonts w:ascii="Arial" w:hAnsi="Arial" w:cs="Arial"/>
          <w:sz w:val="22"/>
          <w:szCs w:val="22"/>
          <w:highlight w:val="yellow"/>
        </w:rPr>
        <w:t>Price $:</w:t>
      </w:r>
      <w:r>
        <w:rPr>
          <w:rFonts w:ascii="Arial" w:hAnsi="Arial" w:cs="Arial"/>
          <w:sz w:val="22"/>
          <w:szCs w:val="22"/>
        </w:rPr>
        <w:t xml:space="preserve"> At the time the report was produced</w:t>
      </w:r>
    </w:p>
    <w:p w14:paraId="179251AC">
      <w:pPr>
        <w:numPr>
          <w:ilvl w:val="0"/>
          <w:numId w:val="1"/>
        </w:numPr>
        <w:ind w:left="1980" w:leftChars="0"/>
        <w:rPr>
          <w:rFonts w:ascii="Arial" w:hAnsi="Arial" w:cs="Arial"/>
          <w:sz w:val="22"/>
          <w:szCs w:val="22"/>
        </w:rPr>
      </w:pPr>
      <w:r>
        <w:rPr>
          <w:rFonts w:ascii="Arial" w:hAnsi="Arial" w:cs="Arial"/>
          <w:sz w:val="22"/>
          <w:szCs w:val="22"/>
          <w:highlight w:val="yellow"/>
        </w:rPr>
        <w:t>1-WK %:</w:t>
      </w:r>
      <w:r>
        <w:rPr>
          <w:rFonts w:ascii="Arial" w:hAnsi="Arial" w:cs="Arial"/>
          <w:sz w:val="22"/>
          <w:szCs w:val="22"/>
        </w:rPr>
        <w:t xml:space="preserve"> 1-week price performance</w:t>
      </w:r>
    </w:p>
    <w:p w14:paraId="398A7706">
      <w:pPr>
        <w:numPr>
          <w:ilvl w:val="0"/>
          <w:numId w:val="1"/>
        </w:numPr>
        <w:ind w:left="1980" w:leftChars="0"/>
        <w:rPr>
          <w:rFonts w:ascii="Arial" w:hAnsi="Arial" w:cs="Arial"/>
          <w:sz w:val="22"/>
          <w:szCs w:val="22"/>
        </w:rPr>
      </w:pPr>
      <w:r>
        <w:rPr>
          <w:rFonts w:ascii="Arial" w:hAnsi="Arial" w:cs="Arial"/>
          <w:sz w:val="22"/>
          <w:szCs w:val="22"/>
          <w:highlight w:val="yellow"/>
        </w:rPr>
        <w:t>1-MO %:</w:t>
      </w:r>
      <w:r>
        <w:rPr>
          <w:rFonts w:ascii="Arial" w:hAnsi="Arial" w:cs="Arial"/>
          <w:sz w:val="22"/>
          <w:szCs w:val="22"/>
        </w:rPr>
        <w:t xml:space="preserve"> 1-month price performance</w:t>
      </w:r>
    </w:p>
    <w:p w14:paraId="1C2FDB3D">
      <w:pPr>
        <w:numPr>
          <w:ilvl w:val="0"/>
          <w:numId w:val="1"/>
        </w:numPr>
        <w:ind w:left="1980" w:leftChars="0"/>
        <w:rPr>
          <w:rFonts w:ascii="Arial" w:hAnsi="Arial" w:cs="Arial"/>
          <w:sz w:val="22"/>
          <w:szCs w:val="22"/>
        </w:rPr>
      </w:pPr>
      <w:r>
        <w:rPr>
          <w:rFonts w:ascii="Arial" w:hAnsi="Arial" w:cs="Arial"/>
          <w:sz w:val="22"/>
          <w:szCs w:val="22"/>
          <w:highlight w:val="yellow"/>
        </w:rPr>
        <w:t>3-MO %:</w:t>
      </w:r>
      <w:r>
        <w:rPr>
          <w:rFonts w:ascii="Arial" w:hAnsi="Arial" w:cs="Arial"/>
          <w:sz w:val="22"/>
          <w:szCs w:val="22"/>
        </w:rPr>
        <w:t xml:space="preserve"> 3-month price performance</w:t>
      </w:r>
    </w:p>
    <w:p w14:paraId="66B0147C">
      <w:pPr>
        <w:numPr>
          <w:ilvl w:val="0"/>
          <w:numId w:val="1"/>
        </w:numPr>
        <w:ind w:left="1980" w:leftChars="0"/>
        <w:rPr>
          <w:rFonts w:ascii="Arial" w:hAnsi="Arial" w:cs="Arial"/>
          <w:sz w:val="22"/>
          <w:szCs w:val="22"/>
        </w:rPr>
      </w:pPr>
      <w:r>
        <w:rPr>
          <w:rFonts w:ascii="Arial" w:hAnsi="Arial" w:cs="Arial"/>
          <w:sz w:val="22"/>
          <w:szCs w:val="22"/>
          <w:highlight w:val="yellow"/>
        </w:rPr>
        <w:t>IV</w:t>
      </w:r>
      <w:r>
        <w:rPr>
          <w:rFonts w:ascii="Arial" w:hAnsi="Arial" w:cs="Arial"/>
          <w:sz w:val="22"/>
          <w:szCs w:val="22"/>
        </w:rPr>
        <w:t>: Average implied volatility using call and put options</w:t>
      </w:r>
    </w:p>
    <w:p w14:paraId="568D4748">
      <w:pPr>
        <w:numPr>
          <w:ilvl w:val="0"/>
          <w:numId w:val="1"/>
        </w:numPr>
        <w:ind w:left="1980" w:leftChars="0"/>
        <w:rPr>
          <w:rFonts w:ascii="Arial" w:hAnsi="Arial" w:cs="Arial"/>
          <w:sz w:val="22"/>
          <w:szCs w:val="22"/>
        </w:rPr>
      </w:pPr>
      <w:r>
        <w:rPr>
          <w:rFonts w:ascii="Arial" w:hAnsi="Arial" w:cs="Arial"/>
          <w:sz w:val="22"/>
          <w:szCs w:val="22"/>
          <w:highlight w:val="yellow"/>
        </w:rPr>
        <w:t>Weeklys</w:t>
      </w:r>
      <w:r>
        <w:rPr>
          <w:rFonts w:ascii="Arial" w:hAnsi="Arial" w:cs="Arial"/>
          <w:sz w:val="22"/>
          <w:szCs w:val="22"/>
        </w:rPr>
        <w:t xml:space="preserve">: A “Y” indicates that </w:t>
      </w:r>
      <w:r>
        <w:rPr>
          <w:rFonts w:ascii="Arial" w:hAnsi="Arial" w:cs="Arial"/>
          <w:sz w:val="22"/>
          <w:szCs w:val="22"/>
          <w:lang w:val="en-US"/>
        </w:rPr>
        <w:t>weekly</w:t>
      </w:r>
      <w:r>
        <w:rPr>
          <w:rFonts w:ascii="Arial" w:hAnsi="Arial" w:cs="Arial"/>
          <w:sz w:val="22"/>
          <w:szCs w:val="22"/>
        </w:rPr>
        <w:t xml:space="preserve"> options are available</w:t>
      </w:r>
    </w:p>
    <w:p w14:paraId="214D289A">
      <w:pPr>
        <w:numPr>
          <w:ilvl w:val="0"/>
          <w:numId w:val="1"/>
        </w:numPr>
        <w:ind w:left="1980" w:leftChars="0"/>
        <w:rPr>
          <w:rFonts w:ascii="Arial" w:hAnsi="Arial" w:cs="Arial"/>
          <w:sz w:val="22"/>
          <w:szCs w:val="22"/>
        </w:rPr>
      </w:pPr>
      <w:r>
        <w:rPr>
          <w:rFonts w:ascii="Arial" w:hAnsi="Arial" w:cs="Arial"/>
          <w:sz w:val="22"/>
          <w:szCs w:val="22"/>
          <w:highlight w:val="yellow"/>
        </w:rPr>
        <w:t>Sorting (order):</w:t>
      </w:r>
      <w:r>
        <w:rPr>
          <w:rFonts w:ascii="Arial" w:hAnsi="Arial" w:cs="Arial"/>
          <w:sz w:val="22"/>
          <w:szCs w:val="22"/>
        </w:rPr>
        <w:t xml:space="preserve"> Stocks are listed according to 1-month returns, best-to-worst</w:t>
      </w:r>
    </w:p>
    <w:p w14:paraId="08B77829">
      <w:pPr>
        <w:rPr>
          <w:rFonts w:ascii="Arial" w:hAnsi="Arial" w:cs="Arial"/>
          <w:sz w:val="22"/>
          <w:szCs w:val="22"/>
        </w:rPr>
      </w:pPr>
    </w:p>
    <w:p w14:paraId="1D803F75">
      <w:pPr>
        <w:jc w:val="left"/>
        <w:rPr>
          <w:rFonts w:hint="default" w:ascii="Arial" w:hAnsi="Arial" w:cs="Arial"/>
          <w:color w:val="C00000"/>
          <w:sz w:val="22"/>
          <w:szCs w:val="22"/>
          <w:highlight w:val="none"/>
          <w:lang w:val="en-US"/>
        </w:rPr>
      </w:pPr>
      <w:r>
        <w:rPr>
          <w:rFonts w:ascii="Arial" w:hAnsi="Arial" w:cs="Arial"/>
          <w:color w:val="C00000"/>
          <w:sz w:val="22"/>
          <w:szCs w:val="22"/>
          <w:highlight w:val="none"/>
        </w:rPr>
        <w:t>***BE CAREFUL WITH CHINEESE</w:t>
      </w:r>
      <w:r>
        <w:rPr>
          <w:rFonts w:hint="default" w:ascii="Arial" w:hAnsi="Arial" w:cs="Arial"/>
          <w:color w:val="C00000"/>
          <w:sz w:val="22"/>
          <w:szCs w:val="22"/>
          <w:highlight w:val="none"/>
          <w:lang w:val="en-US"/>
        </w:rPr>
        <w:t>-</w:t>
      </w:r>
      <w:r>
        <w:rPr>
          <w:rFonts w:ascii="Arial" w:hAnsi="Arial" w:cs="Arial"/>
          <w:color w:val="C00000"/>
          <w:sz w:val="22"/>
          <w:szCs w:val="22"/>
          <w:highlight w:val="none"/>
        </w:rPr>
        <w:t>BASED COMPANIES DUE TO TRANSPARENCY CONCERNS</w:t>
      </w:r>
      <w:r>
        <w:rPr>
          <w:rFonts w:hint="default" w:ascii="Arial" w:hAnsi="Arial" w:cs="Arial"/>
          <w:color w:val="C00000"/>
          <w:sz w:val="22"/>
          <w:szCs w:val="22"/>
          <w:highlight w:val="none"/>
          <w:lang w:val="en-US"/>
        </w:rPr>
        <w:t>***</w:t>
      </w:r>
    </w:p>
    <w:p w14:paraId="1E865A00">
      <w:pPr>
        <w:spacing w:before="100" w:beforeAutospacing="1" w:after="100" w:afterAutospacing="1"/>
        <w:jc w:val="center"/>
        <w:rPr>
          <w:rFonts w:ascii="Arial" w:hAnsi="Arial" w:cs="Arial"/>
          <w:bCs/>
          <w:i/>
          <w:iCs/>
          <w:sz w:val="22"/>
          <w:szCs w:val="22"/>
        </w:rPr>
      </w:pPr>
      <w:r>
        <w:rPr>
          <w:rFonts w:ascii="Arial" w:hAnsi="Arial" w:cs="Arial"/>
          <w:b/>
          <w:bCs w:val="0"/>
          <w:i w:val="0"/>
          <w:iCs w:val="0"/>
          <w:sz w:val="28"/>
          <w:szCs w:val="28"/>
        </w:rPr>
        <w:t xml:space="preserve">Mid-Week Market Tone </w:t>
      </w:r>
      <w:r>
        <w:rPr>
          <w:rFonts w:ascii="Arial" w:hAnsi="Arial" w:cs="Arial"/>
          <w:b w:val="0"/>
          <w:bCs/>
          <w:i w:val="0"/>
          <w:iCs w:val="0"/>
          <w:sz w:val="24"/>
          <w:szCs w:val="24"/>
        </w:rPr>
        <w:t>(Republished from weekend)</w:t>
      </w:r>
    </w:p>
    <w:p w14:paraId="7A58BCA1">
      <w:pPr>
        <w:spacing w:before="100" w:beforeAutospacing="1" w:after="100" w:afterAutospacing="1"/>
        <w:rPr>
          <w:rFonts w:ascii="Arial" w:hAnsi="Arial" w:cs="Arial"/>
          <w:b/>
          <w:bCs/>
          <w:i w:val="0"/>
          <w:iCs w:val="0"/>
          <w:color w:val="C00000"/>
          <w:sz w:val="22"/>
          <w:szCs w:val="22"/>
        </w:rPr>
      </w:pPr>
      <w:bookmarkStart w:id="0" w:name="_Hlk51074201"/>
      <w:r>
        <w:rPr>
          <w:rFonts w:ascii="Arial" w:hAnsi="Arial" w:cs="Arial"/>
          <w:b/>
          <w:bCs/>
          <w:i w:val="0"/>
          <w:iCs w:val="0"/>
          <w:color w:val="333333"/>
          <w:sz w:val="22"/>
          <w:szCs w:val="22"/>
        </w:rPr>
        <w:t xml:space="preserve">IBD Stock Market Exposure </w:t>
      </w:r>
      <w:r>
        <w:rPr>
          <w:rFonts w:ascii="Arial" w:hAnsi="Arial" w:cs="Arial"/>
          <w:i w:val="0"/>
          <w:iCs w:val="0"/>
          <w:color w:val="333333"/>
          <w:sz w:val="22"/>
          <w:szCs w:val="22"/>
        </w:rPr>
        <w:t>(</w:t>
      </w:r>
      <w:r>
        <w:rPr>
          <w:rFonts w:ascii="Arial" w:hAnsi="Arial" w:cs="Arial"/>
          <w:i w:val="0"/>
          <w:iCs w:val="0"/>
          <w:sz w:val="22"/>
          <w:szCs w:val="22"/>
        </w:rPr>
        <w:t>IBD metric)</w:t>
      </w:r>
      <w:r>
        <w:rPr>
          <w:rFonts w:ascii="Arial" w:hAnsi="Arial" w:cs="Arial"/>
          <w:i w:val="0"/>
          <w:iCs w:val="0"/>
          <w:color w:val="333333"/>
          <w:sz w:val="22"/>
          <w:szCs w:val="22"/>
        </w:rPr>
        <w:t xml:space="preserve">- amount recommended to be invested): </w:t>
      </w:r>
      <w:r>
        <w:rPr>
          <w:rFonts w:ascii="Arial" w:hAnsi="Arial" w:cs="Arial"/>
          <w:b/>
          <w:bCs/>
          <w:i w:val="0"/>
          <w:iCs w:val="0"/>
          <w:color w:val="C00000"/>
          <w:sz w:val="22"/>
          <w:szCs w:val="22"/>
        </w:rPr>
        <w:t>0% - 20%</w:t>
      </w:r>
    </w:p>
    <w:p w14:paraId="48EA9691">
      <w:pPr>
        <w:spacing w:before="100" w:beforeAutospacing="1" w:after="100" w:afterAutospacing="1"/>
        <w:rPr>
          <w:rFonts w:ascii="Arial" w:hAnsi="Arial" w:cs="Arial"/>
          <w:b/>
          <w:bCs/>
          <w:color w:val="333333"/>
          <w:sz w:val="22"/>
          <w:szCs w:val="22"/>
        </w:rPr>
      </w:pPr>
      <w:r>
        <w:rPr>
          <w:rFonts w:ascii="Arial" w:hAnsi="Arial" w:cs="Arial"/>
          <w:b/>
          <w:bCs/>
          <w:i w:val="0"/>
          <w:iCs w:val="0"/>
          <w:sz w:val="22"/>
          <w:szCs w:val="22"/>
        </w:rPr>
        <w:fldChar w:fldCharType="begin"/>
      </w:r>
      <w:r>
        <w:rPr>
          <w:rFonts w:ascii="Arial" w:hAnsi="Arial" w:cs="Arial"/>
          <w:b/>
          <w:bCs/>
          <w:i w:val="0"/>
          <w:iCs w:val="0"/>
          <w:sz w:val="22"/>
          <w:szCs w:val="22"/>
        </w:rPr>
        <w:instrText xml:space="preserve">HYPERLINK "http://wishingwealthblog.com/"</w:instrText>
      </w:r>
      <w:r>
        <w:rPr>
          <w:rFonts w:ascii="Arial" w:hAnsi="Arial" w:cs="Arial"/>
          <w:b/>
          <w:bCs/>
          <w:i w:val="0"/>
          <w:iCs w:val="0"/>
          <w:sz w:val="22"/>
          <w:szCs w:val="22"/>
        </w:rPr>
        <w:fldChar w:fldCharType="separate"/>
      </w:r>
      <w:r>
        <w:rPr>
          <w:rFonts w:ascii="Arial" w:hAnsi="Arial" w:cs="Arial"/>
          <w:b/>
          <w:bCs/>
          <w:i w:val="0"/>
          <w:iCs w:val="0"/>
          <w:sz w:val="22"/>
          <w:szCs w:val="22"/>
        </w:rPr>
        <w:t>GMI</w:t>
      </w:r>
      <w:r>
        <w:rPr>
          <w:rFonts w:ascii="Arial" w:hAnsi="Arial" w:cs="Arial"/>
          <w:b/>
          <w:bCs/>
          <w:i w:val="0"/>
          <w:iCs w:val="0"/>
          <w:sz w:val="22"/>
          <w:szCs w:val="22"/>
        </w:rPr>
        <w:fldChar w:fldCharType="end"/>
      </w:r>
      <w:r>
        <w:rPr>
          <w:rFonts w:ascii="Arial" w:hAnsi="Arial" w:cs="Arial"/>
          <w:b/>
          <w:bCs/>
          <w:i w:val="0"/>
          <w:iCs w:val="0"/>
          <w:sz w:val="22"/>
          <w:szCs w:val="22"/>
        </w:rPr>
        <w:t xml:space="preserve">: </w:t>
      </w:r>
      <w:r>
        <w:rPr>
          <w:rFonts w:ascii="Arial" w:hAnsi="Arial" w:cs="Arial"/>
          <w:b/>
          <w:bCs/>
          <w:i w:val="0"/>
          <w:iCs w:val="0"/>
          <w:color w:val="C00000"/>
          <w:sz w:val="22"/>
          <w:szCs w:val="22"/>
        </w:rPr>
        <w:t>0/6</w:t>
      </w:r>
      <w:r>
        <w:rPr>
          <w:rFonts w:ascii="Arial" w:hAnsi="Arial" w:cs="Arial"/>
          <w:i w:val="0"/>
          <w:iCs w:val="0"/>
          <w:color w:val="C00000"/>
          <w:sz w:val="22"/>
          <w:szCs w:val="22"/>
        </w:rPr>
        <w:t>- A bearish signal</w:t>
      </w:r>
      <w:r>
        <w:rPr>
          <w:rFonts w:ascii="Arial" w:hAnsi="Arial" w:cs="Arial"/>
          <w:i w:val="0"/>
          <w:iCs w:val="0"/>
          <w:color w:val="333333"/>
          <w:sz w:val="22"/>
          <w:szCs w:val="22"/>
        </w:rPr>
        <w:t xml:space="preserve"> since March 6, 2026</w:t>
      </w:r>
      <w:r>
        <w:rPr>
          <w:rFonts w:ascii="Arial" w:hAnsi="Arial" w:cs="Arial"/>
          <w:color w:val="333333"/>
          <w:sz w:val="22"/>
          <w:szCs w:val="22"/>
        </w:rPr>
        <w:t>.</w:t>
      </w:r>
    </w:p>
    <w:bookmarkEnd w:id="0"/>
    <w:p w14:paraId="39C0782C">
      <w:pPr>
        <w:pStyle w:val="6"/>
        <w:rPr>
          <w:rFonts w:ascii="Arial" w:hAnsi="Arial" w:cs="Arial"/>
          <w:sz w:val="22"/>
          <w:szCs w:val="22"/>
        </w:rPr>
      </w:pPr>
      <w:r>
        <w:rPr>
          <w:rFonts w:ascii="Arial" w:hAnsi="Arial" w:cs="Arial"/>
          <w:b/>
          <w:bCs/>
          <w:i w:val="0"/>
          <w:iCs w:val="0"/>
          <w:color w:val="333333"/>
          <w:sz w:val="22"/>
          <w:szCs w:val="22"/>
        </w:rPr>
        <w:t>BCI:</w:t>
      </w:r>
      <w:r>
        <w:rPr>
          <w:rFonts w:ascii="Arial" w:hAnsi="Arial" w:cs="Arial"/>
          <w:i/>
          <w:iCs/>
          <w:color w:val="333333"/>
          <w:sz w:val="22"/>
          <w:szCs w:val="22"/>
        </w:rPr>
        <w:t xml:space="preserve"> </w:t>
      </w:r>
      <w:r>
        <w:rPr>
          <w:rFonts w:ascii="Arial" w:hAnsi="Arial" w:cs="Arial"/>
          <w:sz w:val="22"/>
          <w:szCs w:val="22"/>
        </w:rPr>
        <w:t>U.S. markets declined sharply today, marking the most negative Federal Open Market Committee decision-day reaction in more than a year. The sell-off was driven by a “hawkish hold” from the Federal Reserve, combined with mounting inflation concerns fueled by a spike in global oil prices. The Fed voted 11–1 to maintain the benchmark interest rate at 3.5%–3.75%, as expected; however, Chair Powell’s remarks unsettled investors. He indicated that progress on inflation has stalled and acknowledged that policymakers have discussed the potential for future rate hikes if price pressures persist. At the same time, escalating conflict with Iran pushed global oil prices higher, with Brent crude surpassing $109 per barrel and West Texas Intermediate (WTI) climbing nearly 3% to $96.21. Powell characterized this development as a significant and potentially prolonged “energy shock” that could further elevate inflation expectations. Adding to concerns, the Producer Price Index (PPI) rose 0.7% in February, well above the 0.3% forecast—suggesting that wholesale inflation was already gaining momentum even before the recent surge in energy costs. No change to the defensive bias when crafting my trades.</w:t>
      </w:r>
    </w:p>
    <w:p w14:paraId="6DDE7790">
      <w:pPr>
        <w:spacing w:before="100" w:beforeAutospacing="1" w:after="100" w:afterAutospacing="1"/>
        <w:jc w:val="center"/>
        <w:rPr>
          <w:rFonts w:hint="default" w:ascii="Arial" w:hAnsi="Arial" w:cs="Arial"/>
          <w:b/>
          <w:sz w:val="28"/>
          <w:szCs w:val="40"/>
          <w:u w:val="none"/>
          <w:lang w:val="en-US"/>
        </w:rPr>
      </w:pPr>
      <w:r>
        <w:rPr>
          <w:rFonts w:ascii="Arial" w:hAnsi="Arial" w:cs="Arial"/>
          <w:b/>
          <w:sz w:val="32"/>
          <w:szCs w:val="44"/>
          <w:u w:val="none"/>
        </w:rPr>
        <w:t xml:space="preserve">Top-Performing ETFs: </w:t>
      </w:r>
      <w:r>
        <w:rPr>
          <w:rFonts w:hint="default" w:ascii="Arial" w:hAnsi="Arial" w:cs="Arial"/>
          <w:b/>
          <w:sz w:val="32"/>
          <w:szCs w:val="44"/>
          <w:u w:val="none"/>
          <w:lang w:val="en-US"/>
        </w:rPr>
        <w:t>06/26/26</w:t>
      </w:r>
    </w:p>
    <w:p w14:paraId="63A48B08">
      <w:pPr>
        <w:spacing w:before="100" w:beforeAutospacing="1" w:after="100" w:afterAutospacing="1"/>
        <w:jc w:val="center"/>
        <w:rPr>
          <w:rFonts w:hint="default" w:ascii="Arial" w:hAnsi="Arial" w:cs="Arial"/>
          <w:b/>
          <w:sz w:val="28"/>
          <w:szCs w:val="40"/>
          <w:u w:val="none"/>
          <w:lang w:val="en-US"/>
        </w:rPr>
        <w:sectPr>
          <w:pgSz w:w="11906" w:h="16838"/>
          <w:pgMar w:top="1008" w:right="1080" w:bottom="1008" w:left="1080" w:header="720" w:footer="720" w:gutter="0"/>
          <w:cols w:space="720" w:num="1"/>
          <w:docGrid w:linePitch="360" w:charSpace="0"/>
        </w:sectPr>
      </w:pPr>
      <w:bookmarkStart w:id="1" w:name="_GoBack"/>
      <w:bookmarkEnd w:id="1"/>
    </w:p>
    <w:p w14:paraId="1650588E">
      <w:pPr>
        <w:spacing w:before="100" w:beforeAutospacing="1" w:after="100" w:afterAutospacing="1"/>
        <w:jc w:val="center"/>
        <w:rPr>
          <w:rFonts w:ascii="Arial" w:hAnsi="Arial" w:cs="Arial"/>
          <w:b/>
          <w:sz w:val="28"/>
          <w:szCs w:val="28"/>
          <w:u w:val="single"/>
        </w:rPr>
      </w:pPr>
      <w:r>
        <w:rPr>
          <w:rFonts w:hint="default" w:ascii="Arial" w:hAnsi="Arial" w:cs="Arial"/>
          <w:b/>
          <w:sz w:val="32"/>
          <w:szCs w:val="32"/>
          <w:u w:val="none"/>
          <w:lang w:val="en-US"/>
        </w:rPr>
        <w:t>A</w:t>
      </w:r>
      <w:r>
        <w:rPr>
          <w:rFonts w:ascii="Arial" w:hAnsi="Arial" w:cs="Arial"/>
          <w:b/>
          <w:sz w:val="32"/>
          <w:szCs w:val="32"/>
          <w:u w:val="none"/>
        </w:rPr>
        <w:t>dditional Information</w:t>
      </w:r>
    </w:p>
    <w:p w14:paraId="6E4503B2">
      <w:pPr>
        <w:keepNext/>
        <w:jc w:val="center"/>
        <w:outlineLvl w:val="0"/>
        <w:rPr>
          <w:rFonts w:ascii="Arial" w:hAnsi="Arial" w:cs="Arial"/>
          <w:b/>
          <w:bCs/>
          <w:i w:val="0"/>
          <w:iCs/>
          <w:sz w:val="28"/>
          <w:szCs w:val="28"/>
          <w:lang w:val="en"/>
        </w:rPr>
      </w:pPr>
      <w:r>
        <w:rPr>
          <w:rFonts w:ascii="Arial" w:hAnsi="Arial" w:cs="Arial"/>
          <w:b/>
          <w:bCs/>
          <w:i w:val="0"/>
          <w:iCs/>
          <w:sz w:val="28"/>
          <w:szCs w:val="28"/>
          <w:lang w:val="en"/>
        </w:rPr>
        <w:t>Select Sector SPDRs</w:t>
      </w:r>
    </w:p>
    <w:p w14:paraId="1A5D9420">
      <w:pPr>
        <w:spacing w:before="225" w:after="100" w:afterAutospacing="1" w:line="240" w:lineRule="atLeast"/>
        <w:rPr>
          <w:rFonts w:ascii="Arial" w:hAnsi="Arial" w:cs="Arial"/>
          <w:sz w:val="24"/>
          <w:szCs w:val="24"/>
          <w:lang w:val="en"/>
        </w:rPr>
      </w:pPr>
      <w:r>
        <w:rPr>
          <w:rFonts w:ascii="Arial" w:hAnsi="Arial" w:cs="Arial"/>
          <w:sz w:val="24"/>
          <w:szCs w:val="24"/>
          <w:lang w:val="en"/>
        </w:rPr>
        <w:t>Select Sector SPDRs are unique ETFs that divide the S&amp;P 500 into 11 sector index funds.  They have the diversity of mutual funds, the focus of a sector fund, and the tradability of a stock. Together, the 11 Select Sector SPDRs represent the S&amp;P 500 as a whole. However, each Select Sector SPDR can also be bought individually, providing you with exposure to a particular sector or industry group.</w:t>
      </w:r>
    </w:p>
    <w:p w14:paraId="173355DF">
      <w:pPr>
        <w:spacing w:before="225" w:after="100" w:afterAutospacing="1" w:line="240" w:lineRule="atLeast"/>
        <w:rPr>
          <w:rFonts w:ascii="Arial" w:hAnsi="Arial" w:cs="Arial"/>
          <w:color w:val="0000FF"/>
          <w:sz w:val="24"/>
          <w:szCs w:val="24"/>
          <w:u w:val="single"/>
          <w:lang w:val="en"/>
        </w:rPr>
      </w:pPr>
      <w:r>
        <w:rPr>
          <w:rFonts w:ascii="Arial" w:hAnsi="Arial" w:cs="Arial"/>
          <w:sz w:val="24"/>
          <w:szCs w:val="24"/>
          <w:lang w:val="en"/>
        </w:rPr>
        <w:t>These securities all have options and can be used with our covered call strategy. Each week the BCI Team will do a 1-month and 3-month technical analysis of the linear price chart of each sector and compare it to the performance of the S&amp;P itself. The funds outperforming the market benchmark in these time frames will be listed and considered to be among the best candidates for covered call writing in the near term. The 11 Select Sector SPDRs are:</w:t>
      </w:r>
    </w:p>
    <w:tbl>
      <w:tblPr>
        <w:tblStyle w:val="3"/>
        <w:tblW w:w="0" w:type="auto"/>
        <w:tblCellSpacing w:w="15" w:type="dxa"/>
        <w:tblInd w:w="0" w:type="dxa"/>
        <w:tblLayout w:type="autofit"/>
        <w:tblCellMar>
          <w:top w:w="15" w:type="dxa"/>
          <w:left w:w="15" w:type="dxa"/>
          <w:bottom w:w="15" w:type="dxa"/>
          <w:right w:w="15" w:type="dxa"/>
        </w:tblCellMar>
      </w:tblPr>
      <w:tblGrid>
        <w:gridCol w:w="3711"/>
      </w:tblGrid>
      <w:tr w14:paraId="238F7D69">
        <w:tblPrEx>
          <w:tblCellMar>
            <w:top w:w="15" w:type="dxa"/>
            <w:left w:w="15" w:type="dxa"/>
            <w:bottom w:w="15" w:type="dxa"/>
            <w:right w:w="15" w:type="dxa"/>
          </w:tblCellMar>
        </w:tblPrEx>
        <w:trPr>
          <w:tblCellSpacing w:w="15" w:type="dxa"/>
        </w:trPr>
        <w:tc>
          <w:tcPr>
            <w:tcW w:w="0" w:type="auto"/>
            <w:noWrap w:val="0"/>
            <w:vAlign w:val="center"/>
          </w:tcPr>
          <w:p w14:paraId="628DE978">
            <w:pPr>
              <w:numPr>
                <w:ilvl w:val="0"/>
                <w:numId w:val="2"/>
              </w:numPr>
              <w:spacing w:after="160" w:line="259" w:lineRule="auto"/>
              <w:rPr>
                <w:rFonts w:ascii="Arial" w:hAnsi="Arial" w:cs="Arial"/>
                <w:b/>
                <w:color w:val="000000" w:themeColor="text1"/>
                <w:szCs w:val="24"/>
                <w14:textFill>
                  <w14:solidFill>
                    <w14:schemeClr w14:val="tx1"/>
                  </w14:solidFill>
                </w14:textFill>
              </w:rPr>
            </w:pPr>
            <w:r>
              <w:rPr>
                <w:rFonts w:ascii="Arial" w:hAnsi="Arial" w:cs="Arial"/>
                <w:b/>
                <w:color w:val="000000" w:themeColor="text1"/>
                <w:szCs w:val="24"/>
                <w:u w:val="single"/>
                <w14:textFill>
                  <w14:solidFill>
                    <w14:schemeClr w14:val="tx1"/>
                  </w14:solidFill>
                </w14:textFill>
              </w:rPr>
              <w:fldChar w:fldCharType="begin"/>
            </w:r>
            <w:r>
              <w:rPr>
                <w:rFonts w:ascii="Arial" w:hAnsi="Arial" w:cs="Arial"/>
                <w:b/>
                <w:color w:val="000000" w:themeColor="text1"/>
                <w:szCs w:val="24"/>
                <w:u w:val="single"/>
                <w14:textFill>
                  <w14:solidFill>
                    <w14:schemeClr w14:val="tx1"/>
                  </w14:solidFill>
                </w14:textFill>
              </w:rPr>
              <w:instrText xml:space="preserve"> HYPERLINK "http://www.sectorspdr.com/sectorspdr/sector/xly" </w:instrText>
            </w:r>
            <w:r>
              <w:rPr>
                <w:rFonts w:ascii="Arial" w:hAnsi="Arial" w:cs="Arial"/>
                <w:b/>
                <w:color w:val="000000" w:themeColor="text1"/>
                <w:szCs w:val="24"/>
                <w:u w:val="single"/>
                <w14:textFill>
                  <w14:solidFill>
                    <w14:schemeClr w14:val="tx1"/>
                  </w14:solidFill>
                </w14:textFill>
              </w:rPr>
              <w:fldChar w:fldCharType="separate"/>
            </w:r>
            <w:r>
              <w:rPr>
                <w:rFonts w:ascii="Arial" w:hAnsi="Arial" w:cs="Arial"/>
                <w:b/>
                <w:color w:val="000000" w:themeColor="text1"/>
                <w:szCs w:val="24"/>
                <w:u w:val="single"/>
                <w14:textFill>
                  <w14:solidFill>
                    <w14:schemeClr w14:val="tx1"/>
                  </w14:solidFill>
                </w14:textFill>
              </w:rPr>
              <w:t>Consumer Discretionary (XLY)</w:t>
            </w:r>
            <w:r>
              <w:rPr>
                <w:rFonts w:ascii="Arial" w:hAnsi="Arial" w:cs="Arial"/>
                <w:b/>
                <w:color w:val="000000" w:themeColor="text1"/>
                <w:szCs w:val="24"/>
                <w:u w:val="single"/>
                <w14:textFill>
                  <w14:solidFill>
                    <w14:schemeClr w14:val="tx1"/>
                  </w14:solidFill>
                </w14:textFill>
              </w:rPr>
              <w:fldChar w:fldCharType="end"/>
            </w:r>
            <w:r>
              <w:rPr>
                <w:rFonts w:ascii="Arial" w:hAnsi="Arial" w:cs="Arial"/>
                <w:b/>
                <w:color w:val="000000" w:themeColor="text1"/>
                <w:szCs w:val="24"/>
                <w14:textFill>
                  <w14:solidFill>
                    <w14:schemeClr w14:val="tx1"/>
                  </w14:solidFill>
                </w14:textFill>
              </w:rPr>
              <w:t xml:space="preserve"> </w:t>
            </w:r>
          </w:p>
        </w:tc>
      </w:tr>
      <w:tr w14:paraId="4F62E355">
        <w:tblPrEx>
          <w:tblCellMar>
            <w:top w:w="15" w:type="dxa"/>
            <w:left w:w="15" w:type="dxa"/>
            <w:bottom w:w="15" w:type="dxa"/>
            <w:right w:w="15" w:type="dxa"/>
          </w:tblCellMar>
        </w:tblPrEx>
        <w:trPr>
          <w:tblCellSpacing w:w="15" w:type="dxa"/>
        </w:trPr>
        <w:tc>
          <w:tcPr>
            <w:tcW w:w="0" w:type="auto"/>
            <w:noWrap w:val="0"/>
            <w:vAlign w:val="center"/>
          </w:tcPr>
          <w:p w14:paraId="42754D6E">
            <w:pPr>
              <w:numPr>
                <w:ilvl w:val="0"/>
                <w:numId w:val="2"/>
              </w:numPr>
              <w:spacing w:after="160" w:line="259" w:lineRule="auto"/>
              <w:rPr>
                <w:rFonts w:ascii="Arial" w:hAnsi="Arial" w:cs="Arial"/>
                <w:b/>
                <w:color w:val="000000" w:themeColor="text1"/>
                <w:szCs w:val="24"/>
                <w14:textFill>
                  <w14:solidFill>
                    <w14:schemeClr w14:val="tx1"/>
                  </w14:solidFill>
                </w14:textFill>
              </w:rPr>
            </w:pPr>
            <w:r>
              <w:rPr>
                <w:rFonts w:ascii="Arial" w:hAnsi="Arial" w:cs="Arial"/>
                <w:b/>
                <w:color w:val="000000" w:themeColor="text1"/>
                <w:szCs w:val="24"/>
                <w:u w:val="single"/>
                <w14:textFill>
                  <w14:solidFill>
                    <w14:schemeClr w14:val="tx1"/>
                  </w14:solidFill>
                </w14:textFill>
              </w:rPr>
              <w:fldChar w:fldCharType="begin"/>
            </w:r>
            <w:r>
              <w:rPr>
                <w:rFonts w:ascii="Arial" w:hAnsi="Arial" w:cs="Arial"/>
                <w:b/>
                <w:color w:val="000000" w:themeColor="text1"/>
                <w:szCs w:val="24"/>
                <w:u w:val="single"/>
                <w14:textFill>
                  <w14:solidFill>
                    <w14:schemeClr w14:val="tx1"/>
                  </w14:solidFill>
                </w14:textFill>
              </w:rPr>
              <w:instrText xml:space="preserve"> HYPERLINK "http://www.sectorspdr.com/sectorspdr/sector/xlp" </w:instrText>
            </w:r>
            <w:r>
              <w:rPr>
                <w:rFonts w:ascii="Arial" w:hAnsi="Arial" w:cs="Arial"/>
                <w:b/>
                <w:color w:val="000000" w:themeColor="text1"/>
                <w:szCs w:val="24"/>
                <w:u w:val="single"/>
                <w14:textFill>
                  <w14:solidFill>
                    <w14:schemeClr w14:val="tx1"/>
                  </w14:solidFill>
                </w14:textFill>
              </w:rPr>
              <w:fldChar w:fldCharType="separate"/>
            </w:r>
            <w:r>
              <w:rPr>
                <w:rFonts w:ascii="Arial" w:hAnsi="Arial" w:cs="Arial"/>
                <w:b/>
                <w:color w:val="000000" w:themeColor="text1"/>
                <w:szCs w:val="24"/>
                <w:u w:val="single"/>
                <w14:textFill>
                  <w14:solidFill>
                    <w14:schemeClr w14:val="tx1"/>
                  </w14:solidFill>
                </w14:textFill>
              </w:rPr>
              <w:t>Consumer Staples (XLP)</w:t>
            </w:r>
            <w:r>
              <w:rPr>
                <w:rFonts w:ascii="Arial" w:hAnsi="Arial" w:cs="Arial"/>
                <w:b/>
                <w:color w:val="000000" w:themeColor="text1"/>
                <w:szCs w:val="24"/>
                <w:u w:val="single"/>
                <w14:textFill>
                  <w14:solidFill>
                    <w14:schemeClr w14:val="tx1"/>
                  </w14:solidFill>
                </w14:textFill>
              </w:rPr>
              <w:fldChar w:fldCharType="end"/>
            </w:r>
            <w:r>
              <w:rPr>
                <w:rFonts w:ascii="Arial" w:hAnsi="Arial" w:cs="Arial"/>
                <w:b/>
                <w:color w:val="000000" w:themeColor="text1"/>
                <w:szCs w:val="24"/>
                <w14:textFill>
                  <w14:solidFill>
                    <w14:schemeClr w14:val="tx1"/>
                  </w14:solidFill>
                </w14:textFill>
              </w:rPr>
              <w:t xml:space="preserve"> </w:t>
            </w:r>
          </w:p>
        </w:tc>
      </w:tr>
      <w:tr w14:paraId="31A56E6F">
        <w:tblPrEx>
          <w:tblCellMar>
            <w:top w:w="15" w:type="dxa"/>
            <w:left w:w="15" w:type="dxa"/>
            <w:bottom w:w="15" w:type="dxa"/>
            <w:right w:w="15" w:type="dxa"/>
          </w:tblCellMar>
        </w:tblPrEx>
        <w:trPr>
          <w:tblCellSpacing w:w="15" w:type="dxa"/>
        </w:trPr>
        <w:tc>
          <w:tcPr>
            <w:tcW w:w="0" w:type="auto"/>
            <w:noWrap w:val="0"/>
            <w:vAlign w:val="center"/>
          </w:tcPr>
          <w:p w14:paraId="1F8EDA7D">
            <w:pPr>
              <w:numPr>
                <w:ilvl w:val="0"/>
                <w:numId w:val="2"/>
              </w:numPr>
              <w:spacing w:after="160" w:line="259" w:lineRule="auto"/>
              <w:rPr>
                <w:rFonts w:ascii="Arial" w:hAnsi="Arial" w:cs="Arial"/>
                <w:b/>
                <w:color w:val="000000" w:themeColor="text1"/>
                <w:szCs w:val="24"/>
                <w14:textFill>
                  <w14:solidFill>
                    <w14:schemeClr w14:val="tx1"/>
                  </w14:solidFill>
                </w14:textFill>
              </w:rPr>
            </w:pPr>
            <w:r>
              <w:rPr>
                <w:rFonts w:ascii="Arial" w:hAnsi="Arial" w:cs="Arial"/>
                <w:b/>
                <w:color w:val="000000" w:themeColor="text1"/>
                <w:szCs w:val="24"/>
                <w:u w:val="single"/>
                <w14:textFill>
                  <w14:solidFill>
                    <w14:schemeClr w14:val="tx1"/>
                  </w14:solidFill>
                </w14:textFill>
              </w:rPr>
              <w:fldChar w:fldCharType="begin"/>
            </w:r>
            <w:r>
              <w:rPr>
                <w:rFonts w:ascii="Arial" w:hAnsi="Arial" w:cs="Arial"/>
                <w:b/>
                <w:color w:val="000000" w:themeColor="text1"/>
                <w:szCs w:val="24"/>
                <w:u w:val="single"/>
                <w14:textFill>
                  <w14:solidFill>
                    <w14:schemeClr w14:val="tx1"/>
                  </w14:solidFill>
                </w14:textFill>
              </w:rPr>
              <w:instrText xml:space="preserve"> HYPERLINK "http://www.sectorspdr.com/sectorspdr/sector/xle" </w:instrText>
            </w:r>
            <w:r>
              <w:rPr>
                <w:rFonts w:ascii="Arial" w:hAnsi="Arial" w:cs="Arial"/>
                <w:b/>
                <w:color w:val="000000" w:themeColor="text1"/>
                <w:szCs w:val="24"/>
                <w:u w:val="single"/>
                <w14:textFill>
                  <w14:solidFill>
                    <w14:schemeClr w14:val="tx1"/>
                  </w14:solidFill>
                </w14:textFill>
              </w:rPr>
              <w:fldChar w:fldCharType="separate"/>
            </w:r>
            <w:r>
              <w:rPr>
                <w:rFonts w:ascii="Arial" w:hAnsi="Arial" w:cs="Arial"/>
                <w:b/>
                <w:color w:val="000000" w:themeColor="text1"/>
                <w:szCs w:val="24"/>
                <w:u w:val="single"/>
                <w14:textFill>
                  <w14:solidFill>
                    <w14:schemeClr w14:val="tx1"/>
                  </w14:solidFill>
                </w14:textFill>
              </w:rPr>
              <w:t>Energy (XLE)</w:t>
            </w:r>
            <w:r>
              <w:rPr>
                <w:rFonts w:ascii="Arial" w:hAnsi="Arial" w:cs="Arial"/>
                <w:b/>
                <w:color w:val="000000" w:themeColor="text1"/>
                <w:szCs w:val="24"/>
                <w:u w:val="single"/>
                <w14:textFill>
                  <w14:solidFill>
                    <w14:schemeClr w14:val="tx1"/>
                  </w14:solidFill>
                </w14:textFill>
              </w:rPr>
              <w:fldChar w:fldCharType="end"/>
            </w:r>
            <w:r>
              <w:rPr>
                <w:rFonts w:ascii="Arial" w:hAnsi="Arial" w:cs="Arial"/>
                <w:b/>
                <w:color w:val="000000" w:themeColor="text1"/>
                <w:szCs w:val="24"/>
                <w14:textFill>
                  <w14:solidFill>
                    <w14:schemeClr w14:val="tx1"/>
                  </w14:solidFill>
                </w14:textFill>
              </w:rPr>
              <w:t xml:space="preserve"> </w:t>
            </w:r>
          </w:p>
        </w:tc>
      </w:tr>
      <w:tr w14:paraId="44F3DA6C">
        <w:tblPrEx>
          <w:tblCellMar>
            <w:top w:w="15" w:type="dxa"/>
            <w:left w:w="15" w:type="dxa"/>
            <w:bottom w:w="15" w:type="dxa"/>
            <w:right w:w="15" w:type="dxa"/>
          </w:tblCellMar>
        </w:tblPrEx>
        <w:trPr>
          <w:tblCellSpacing w:w="15" w:type="dxa"/>
        </w:trPr>
        <w:tc>
          <w:tcPr>
            <w:tcW w:w="0" w:type="auto"/>
            <w:noWrap w:val="0"/>
            <w:vAlign w:val="center"/>
          </w:tcPr>
          <w:p w14:paraId="242EF369">
            <w:pPr>
              <w:numPr>
                <w:ilvl w:val="0"/>
                <w:numId w:val="2"/>
              </w:numPr>
              <w:spacing w:after="160" w:line="259" w:lineRule="auto"/>
              <w:rPr>
                <w:rFonts w:ascii="Arial" w:hAnsi="Arial" w:cs="Arial"/>
                <w:b/>
                <w:color w:val="000000" w:themeColor="text1"/>
                <w:szCs w:val="24"/>
                <w14:textFill>
                  <w14:solidFill>
                    <w14:schemeClr w14:val="tx1"/>
                  </w14:solidFill>
                </w14:textFill>
              </w:rPr>
            </w:pPr>
            <w:r>
              <w:rPr>
                <w:rFonts w:ascii="Arial" w:hAnsi="Arial" w:cs="Arial"/>
                <w:b/>
                <w:color w:val="000000" w:themeColor="text1"/>
                <w:szCs w:val="24"/>
                <w:u w:val="single"/>
                <w14:textFill>
                  <w14:solidFill>
                    <w14:schemeClr w14:val="tx1"/>
                  </w14:solidFill>
                </w14:textFill>
              </w:rPr>
              <w:fldChar w:fldCharType="begin"/>
            </w:r>
            <w:r>
              <w:rPr>
                <w:rFonts w:ascii="Arial" w:hAnsi="Arial" w:cs="Arial"/>
                <w:b/>
                <w:color w:val="000000" w:themeColor="text1"/>
                <w:szCs w:val="24"/>
                <w:u w:val="single"/>
                <w14:textFill>
                  <w14:solidFill>
                    <w14:schemeClr w14:val="tx1"/>
                  </w14:solidFill>
                </w14:textFill>
              </w:rPr>
              <w:instrText xml:space="preserve"> HYPERLINK "http://www.sectorspdr.com/sectorspdr/sector/xlf" </w:instrText>
            </w:r>
            <w:r>
              <w:rPr>
                <w:rFonts w:ascii="Arial" w:hAnsi="Arial" w:cs="Arial"/>
                <w:b/>
                <w:color w:val="000000" w:themeColor="text1"/>
                <w:szCs w:val="24"/>
                <w:u w:val="single"/>
                <w14:textFill>
                  <w14:solidFill>
                    <w14:schemeClr w14:val="tx1"/>
                  </w14:solidFill>
                </w14:textFill>
              </w:rPr>
              <w:fldChar w:fldCharType="separate"/>
            </w:r>
            <w:r>
              <w:rPr>
                <w:rFonts w:ascii="Arial" w:hAnsi="Arial" w:cs="Arial"/>
                <w:b/>
                <w:color w:val="000000" w:themeColor="text1"/>
                <w:szCs w:val="24"/>
                <w:u w:val="single"/>
                <w14:textFill>
                  <w14:solidFill>
                    <w14:schemeClr w14:val="tx1"/>
                  </w14:solidFill>
                </w14:textFill>
              </w:rPr>
              <w:t>Financials (XLF)</w:t>
            </w:r>
            <w:r>
              <w:rPr>
                <w:rFonts w:ascii="Arial" w:hAnsi="Arial" w:cs="Arial"/>
                <w:b/>
                <w:color w:val="000000" w:themeColor="text1"/>
                <w:szCs w:val="24"/>
                <w:u w:val="single"/>
                <w14:textFill>
                  <w14:solidFill>
                    <w14:schemeClr w14:val="tx1"/>
                  </w14:solidFill>
                </w14:textFill>
              </w:rPr>
              <w:fldChar w:fldCharType="end"/>
            </w:r>
            <w:r>
              <w:rPr>
                <w:rFonts w:ascii="Arial" w:hAnsi="Arial" w:cs="Arial"/>
                <w:b/>
                <w:color w:val="000000" w:themeColor="text1"/>
                <w:szCs w:val="24"/>
                <w14:textFill>
                  <w14:solidFill>
                    <w14:schemeClr w14:val="tx1"/>
                  </w14:solidFill>
                </w14:textFill>
              </w:rPr>
              <w:t xml:space="preserve"> </w:t>
            </w:r>
          </w:p>
        </w:tc>
      </w:tr>
      <w:tr w14:paraId="27D0292E">
        <w:tblPrEx>
          <w:tblCellMar>
            <w:top w:w="15" w:type="dxa"/>
            <w:left w:w="15" w:type="dxa"/>
            <w:bottom w:w="15" w:type="dxa"/>
            <w:right w:w="15" w:type="dxa"/>
          </w:tblCellMar>
        </w:tblPrEx>
        <w:trPr>
          <w:tblCellSpacing w:w="15" w:type="dxa"/>
        </w:trPr>
        <w:tc>
          <w:tcPr>
            <w:tcW w:w="0" w:type="auto"/>
            <w:noWrap w:val="0"/>
            <w:vAlign w:val="center"/>
          </w:tcPr>
          <w:p w14:paraId="753CBDBB">
            <w:pPr>
              <w:numPr>
                <w:ilvl w:val="0"/>
                <w:numId w:val="2"/>
              </w:numPr>
              <w:spacing w:after="160" w:line="259" w:lineRule="auto"/>
              <w:rPr>
                <w:rFonts w:ascii="Arial" w:hAnsi="Arial" w:cs="Arial"/>
                <w:b/>
                <w:color w:val="000000" w:themeColor="text1"/>
                <w:szCs w:val="24"/>
                <w14:textFill>
                  <w14:solidFill>
                    <w14:schemeClr w14:val="tx1"/>
                  </w14:solidFill>
                </w14:textFill>
              </w:rPr>
            </w:pPr>
            <w:r>
              <w:rPr>
                <w:rFonts w:ascii="Arial" w:hAnsi="Arial" w:cs="Arial"/>
                <w:b/>
                <w:color w:val="000000" w:themeColor="text1"/>
                <w:szCs w:val="24"/>
                <w:u w:val="single"/>
                <w14:textFill>
                  <w14:solidFill>
                    <w14:schemeClr w14:val="tx1"/>
                  </w14:solidFill>
                </w14:textFill>
              </w:rPr>
              <w:fldChar w:fldCharType="begin"/>
            </w:r>
            <w:r>
              <w:rPr>
                <w:rFonts w:ascii="Arial" w:hAnsi="Arial" w:cs="Arial"/>
                <w:b/>
                <w:color w:val="000000" w:themeColor="text1"/>
                <w:szCs w:val="24"/>
                <w:u w:val="single"/>
                <w14:textFill>
                  <w14:solidFill>
                    <w14:schemeClr w14:val="tx1"/>
                  </w14:solidFill>
                </w14:textFill>
              </w:rPr>
              <w:instrText xml:space="preserve"> HYPERLINK "http://www.sectorspdr.com/sectorspdr/sector/xlv" </w:instrText>
            </w:r>
            <w:r>
              <w:rPr>
                <w:rFonts w:ascii="Arial" w:hAnsi="Arial" w:cs="Arial"/>
                <w:b/>
                <w:color w:val="000000" w:themeColor="text1"/>
                <w:szCs w:val="24"/>
                <w:u w:val="single"/>
                <w14:textFill>
                  <w14:solidFill>
                    <w14:schemeClr w14:val="tx1"/>
                  </w14:solidFill>
                </w14:textFill>
              </w:rPr>
              <w:fldChar w:fldCharType="separate"/>
            </w:r>
            <w:r>
              <w:rPr>
                <w:rFonts w:ascii="Arial" w:hAnsi="Arial" w:cs="Arial"/>
                <w:b/>
                <w:color w:val="000000" w:themeColor="text1"/>
                <w:szCs w:val="24"/>
                <w:u w:val="single"/>
                <w14:textFill>
                  <w14:solidFill>
                    <w14:schemeClr w14:val="tx1"/>
                  </w14:solidFill>
                </w14:textFill>
              </w:rPr>
              <w:t>Health Care (XLV)</w:t>
            </w:r>
            <w:r>
              <w:rPr>
                <w:rFonts w:ascii="Arial" w:hAnsi="Arial" w:cs="Arial"/>
                <w:b/>
                <w:color w:val="000000" w:themeColor="text1"/>
                <w:szCs w:val="24"/>
                <w:u w:val="single"/>
                <w14:textFill>
                  <w14:solidFill>
                    <w14:schemeClr w14:val="tx1"/>
                  </w14:solidFill>
                </w14:textFill>
              </w:rPr>
              <w:fldChar w:fldCharType="end"/>
            </w:r>
            <w:r>
              <w:rPr>
                <w:rFonts w:ascii="Arial" w:hAnsi="Arial" w:cs="Arial"/>
                <w:b/>
                <w:color w:val="000000" w:themeColor="text1"/>
                <w:szCs w:val="24"/>
                <w14:textFill>
                  <w14:solidFill>
                    <w14:schemeClr w14:val="tx1"/>
                  </w14:solidFill>
                </w14:textFill>
              </w:rPr>
              <w:t xml:space="preserve"> </w:t>
            </w:r>
          </w:p>
        </w:tc>
      </w:tr>
      <w:tr w14:paraId="4385BA40">
        <w:tblPrEx>
          <w:tblCellMar>
            <w:top w:w="15" w:type="dxa"/>
            <w:left w:w="15" w:type="dxa"/>
            <w:bottom w:w="15" w:type="dxa"/>
            <w:right w:w="15" w:type="dxa"/>
          </w:tblCellMar>
        </w:tblPrEx>
        <w:trPr>
          <w:tblCellSpacing w:w="15" w:type="dxa"/>
        </w:trPr>
        <w:tc>
          <w:tcPr>
            <w:tcW w:w="0" w:type="auto"/>
            <w:noWrap w:val="0"/>
            <w:vAlign w:val="center"/>
          </w:tcPr>
          <w:p w14:paraId="20CACA09">
            <w:pPr>
              <w:numPr>
                <w:ilvl w:val="0"/>
                <w:numId w:val="2"/>
              </w:numPr>
              <w:spacing w:after="160" w:line="259" w:lineRule="auto"/>
              <w:rPr>
                <w:rFonts w:ascii="Arial" w:hAnsi="Arial" w:cs="Arial"/>
                <w:b/>
                <w:color w:val="000000" w:themeColor="text1"/>
                <w:szCs w:val="24"/>
                <w14:textFill>
                  <w14:solidFill>
                    <w14:schemeClr w14:val="tx1"/>
                  </w14:solidFill>
                </w14:textFill>
              </w:rPr>
            </w:pPr>
            <w:r>
              <w:rPr>
                <w:rFonts w:ascii="Arial" w:hAnsi="Arial" w:cs="Arial"/>
                <w:b/>
                <w:color w:val="000000" w:themeColor="text1"/>
                <w:szCs w:val="24"/>
                <w:u w:val="single"/>
                <w14:textFill>
                  <w14:solidFill>
                    <w14:schemeClr w14:val="tx1"/>
                  </w14:solidFill>
                </w14:textFill>
              </w:rPr>
              <w:fldChar w:fldCharType="begin"/>
            </w:r>
            <w:r>
              <w:rPr>
                <w:rFonts w:ascii="Arial" w:hAnsi="Arial" w:cs="Arial"/>
                <w:b/>
                <w:color w:val="000000" w:themeColor="text1"/>
                <w:szCs w:val="24"/>
                <w:u w:val="single"/>
                <w14:textFill>
                  <w14:solidFill>
                    <w14:schemeClr w14:val="tx1"/>
                  </w14:solidFill>
                </w14:textFill>
              </w:rPr>
              <w:instrText xml:space="preserve"> HYPERLINK "http://www.sectorspdr.com/sectorspdr/sector/xli" </w:instrText>
            </w:r>
            <w:r>
              <w:rPr>
                <w:rFonts w:ascii="Arial" w:hAnsi="Arial" w:cs="Arial"/>
                <w:b/>
                <w:color w:val="000000" w:themeColor="text1"/>
                <w:szCs w:val="24"/>
                <w:u w:val="single"/>
                <w14:textFill>
                  <w14:solidFill>
                    <w14:schemeClr w14:val="tx1"/>
                  </w14:solidFill>
                </w14:textFill>
              </w:rPr>
              <w:fldChar w:fldCharType="separate"/>
            </w:r>
            <w:r>
              <w:rPr>
                <w:rFonts w:ascii="Arial" w:hAnsi="Arial" w:cs="Arial"/>
                <w:b/>
                <w:color w:val="000000" w:themeColor="text1"/>
                <w:szCs w:val="24"/>
                <w:u w:val="single"/>
                <w14:textFill>
                  <w14:solidFill>
                    <w14:schemeClr w14:val="tx1"/>
                  </w14:solidFill>
                </w14:textFill>
              </w:rPr>
              <w:t>Industrials (XLI)</w:t>
            </w:r>
            <w:r>
              <w:rPr>
                <w:rFonts w:ascii="Arial" w:hAnsi="Arial" w:cs="Arial"/>
                <w:b/>
                <w:color w:val="000000" w:themeColor="text1"/>
                <w:szCs w:val="24"/>
                <w:u w:val="single"/>
                <w14:textFill>
                  <w14:solidFill>
                    <w14:schemeClr w14:val="tx1"/>
                  </w14:solidFill>
                </w14:textFill>
              </w:rPr>
              <w:fldChar w:fldCharType="end"/>
            </w:r>
            <w:r>
              <w:rPr>
                <w:rFonts w:ascii="Arial" w:hAnsi="Arial" w:cs="Arial"/>
                <w:b/>
                <w:color w:val="000000" w:themeColor="text1"/>
                <w:szCs w:val="24"/>
                <w14:textFill>
                  <w14:solidFill>
                    <w14:schemeClr w14:val="tx1"/>
                  </w14:solidFill>
                </w14:textFill>
              </w:rPr>
              <w:t xml:space="preserve"> </w:t>
            </w:r>
          </w:p>
        </w:tc>
      </w:tr>
      <w:tr w14:paraId="3927D064">
        <w:tblPrEx>
          <w:tblCellMar>
            <w:top w:w="15" w:type="dxa"/>
            <w:left w:w="15" w:type="dxa"/>
            <w:bottom w:w="15" w:type="dxa"/>
            <w:right w:w="15" w:type="dxa"/>
          </w:tblCellMar>
        </w:tblPrEx>
        <w:trPr>
          <w:tblCellSpacing w:w="15" w:type="dxa"/>
        </w:trPr>
        <w:tc>
          <w:tcPr>
            <w:tcW w:w="0" w:type="auto"/>
            <w:noWrap w:val="0"/>
            <w:vAlign w:val="center"/>
          </w:tcPr>
          <w:p w14:paraId="41C9D36C">
            <w:pPr>
              <w:numPr>
                <w:ilvl w:val="0"/>
                <w:numId w:val="2"/>
              </w:numPr>
              <w:spacing w:after="160" w:line="259" w:lineRule="auto"/>
              <w:rPr>
                <w:rFonts w:ascii="Arial" w:hAnsi="Arial" w:cs="Arial"/>
                <w:b/>
                <w:color w:val="000000" w:themeColor="text1"/>
                <w:szCs w:val="24"/>
                <w14:textFill>
                  <w14:solidFill>
                    <w14:schemeClr w14:val="tx1"/>
                  </w14:solidFill>
                </w14:textFill>
              </w:rPr>
            </w:pPr>
            <w:r>
              <w:rPr>
                <w:rFonts w:ascii="Arial" w:hAnsi="Arial" w:cs="Arial"/>
                <w:b/>
                <w:color w:val="000000" w:themeColor="text1"/>
                <w:szCs w:val="24"/>
                <w:u w:val="single"/>
                <w14:textFill>
                  <w14:solidFill>
                    <w14:schemeClr w14:val="tx1"/>
                  </w14:solidFill>
                </w14:textFill>
              </w:rPr>
              <w:fldChar w:fldCharType="begin"/>
            </w:r>
            <w:r>
              <w:rPr>
                <w:rFonts w:ascii="Arial" w:hAnsi="Arial" w:cs="Arial"/>
                <w:b/>
                <w:color w:val="000000" w:themeColor="text1"/>
                <w:szCs w:val="24"/>
                <w:u w:val="single"/>
                <w14:textFill>
                  <w14:solidFill>
                    <w14:schemeClr w14:val="tx1"/>
                  </w14:solidFill>
                </w14:textFill>
              </w:rPr>
              <w:instrText xml:space="preserve"> HYPERLINK "http://www.sectorspdr.com/sectorspdr/sector/xlb" </w:instrText>
            </w:r>
            <w:r>
              <w:rPr>
                <w:rFonts w:ascii="Arial" w:hAnsi="Arial" w:cs="Arial"/>
                <w:b/>
                <w:color w:val="000000" w:themeColor="text1"/>
                <w:szCs w:val="24"/>
                <w:u w:val="single"/>
                <w14:textFill>
                  <w14:solidFill>
                    <w14:schemeClr w14:val="tx1"/>
                  </w14:solidFill>
                </w14:textFill>
              </w:rPr>
              <w:fldChar w:fldCharType="separate"/>
            </w:r>
            <w:r>
              <w:rPr>
                <w:rFonts w:ascii="Arial" w:hAnsi="Arial" w:cs="Arial"/>
                <w:b/>
                <w:color w:val="000000" w:themeColor="text1"/>
                <w:szCs w:val="24"/>
                <w:u w:val="single"/>
                <w14:textFill>
                  <w14:solidFill>
                    <w14:schemeClr w14:val="tx1"/>
                  </w14:solidFill>
                </w14:textFill>
              </w:rPr>
              <w:t>Materials (XLB)</w:t>
            </w:r>
            <w:r>
              <w:rPr>
                <w:rFonts w:ascii="Arial" w:hAnsi="Arial" w:cs="Arial"/>
                <w:b/>
                <w:color w:val="000000" w:themeColor="text1"/>
                <w:szCs w:val="24"/>
                <w:u w:val="single"/>
                <w14:textFill>
                  <w14:solidFill>
                    <w14:schemeClr w14:val="tx1"/>
                  </w14:solidFill>
                </w14:textFill>
              </w:rPr>
              <w:fldChar w:fldCharType="end"/>
            </w:r>
            <w:r>
              <w:rPr>
                <w:rFonts w:ascii="Arial" w:hAnsi="Arial" w:cs="Arial"/>
                <w:b/>
                <w:color w:val="000000" w:themeColor="text1"/>
                <w:szCs w:val="24"/>
                <w14:textFill>
                  <w14:solidFill>
                    <w14:schemeClr w14:val="tx1"/>
                  </w14:solidFill>
                </w14:textFill>
              </w:rPr>
              <w:t xml:space="preserve"> </w:t>
            </w:r>
          </w:p>
        </w:tc>
      </w:tr>
      <w:tr w14:paraId="73694668">
        <w:tblPrEx>
          <w:tblCellMar>
            <w:top w:w="15" w:type="dxa"/>
            <w:left w:w="15" w:type="dxa"/>
            <w:bottom w:w="15" w:type="dxa"/>
            <w:right w:w="15" w:type="dxa"/>
          </w:tblCellMar>
        </w:tblPrEx>
        <w:trPr>
          <w:tblCellSpacing w:w="15" w:type="dxa"/>
        </w:trPr>
        <w:tc>
          <w:tcPr>
            <w:tcW w:w="0" w:type="auto"/>
            <w:noWrap w:val="0"/>
            <w:vAlign w:val="center"/>
          </w:tcPr>
          <w:p w14:paraId="720D2777">
            <w:pPr>
              <w:numPr>
                <w:ilvl w:val="0"/>
                <w:numId w:val="2"/>
              </w:numPr>
              <w:spacing w:after="160" w:line="259" w:lineRule="auto"/>
              <w:rPr>
                <w:rFonts w:ascii="Arial" w:hAnsi="Arial" w:cs="Arial"/>
                <w:b/>
                <w:color w:val="000000" w:themeColor="text1"/>
                <w:szCs w:val="24"/>
                <w14:textFill>
                  <w14:solidFill>
                    <w14:schemeClr w14:val="tx1"/>
                  </w14:solidFill>
                </w14:textFill>
              </w:rPr>
            </w:pPr>
            <w:r>
              <w:rPr>
                <w:rFonts w:ascii="Arial" w:hAnsi="Arial" w:cs="Arial"/>
                <w:b/>
                <w:color w:val="000000" w:themeColor="text1"/>
                <w:szCs w:val="24"/>
                <w:u w:val="single"/>
                <w14:textFill>
                  <w14:solidFill>
                    <w14:schemeClr w14:val="tx1"/>
                  </w14:solidFill>
                </w14:textFill>
              </w:rPr>
              <w:fldChar w:fldCharType="begin"/>
            </w:r>
            <w:r>
              <w:rPr>
                <w:rFonts w:ascii="Arial" w:hAnsi="Arial" w:cs="Arial"/>
                <w:b/>
                <w:color w:val="000000" w:themeColor="text1"/>
                <w:szCs w:val="24"/>
                <w:u w:val="single"/>
                <w14:textFill>
                  <w14:solidFill>
                    <w14:schemeClr w14:val="tx1"/>
                  </w14:solidFill>
                </w14:textFill>
              </w:rPr>
              <w:instrText xml:space="preserve"> HYPERLINK "http://www.sectorspdr.com/sectorspdr/sector/xlre" </w:instrText>
            </w:r>
            <w:r>
              <w:rPr>
                <w:rFonts w:ascii="Arial" w:hAnsi="Arial" w:cs="Arial"/>
                <w:b/>
                <w:color w:val="000000" w:themeColor="text1"/>
                <w:szCs w:val="24"/>
                <w:u w:val="single"/>
                <w14:textFill>
                  <w14:solidFill>
                    <w14:schemeClr w14:val="tx1"/>
                  </w14:solidFill>
                </w14:textFill>
              </w:rPr>
              <w:fldChar w:fldCharType="separate"/>
            </w:r>
            <w:r>
              <w:rPr>
                <w:rFonts w:ascii="Arial" w:hAnsi="Arial" w:cs="Arial"/>
                <w:b/>
                <w:color w:val="000000" w:themeColor="text1"/>
                <w:szCs w:val="24"/>
                <w:u w:val="single"/>
                <w14:textFill>
                  <w14:solidFill>
                    <w14:schemeClr w14:val="tx1"/>
                  </w14:solidFill>
                </w14:textFill>
              </w:rPr>
              <w:t>Real Estate (XLRE)</w:t>
            </w:r>
            <w:r>
              <w:rPr>
                <w:rFonts w:ascii="Arial" w:hAnsi="Arial" w:cs="Arial"/>
                <w:b/>
                <w:color w:val="000000" w:themeColor="text1"/>
                <w:szCs w:val="24"/>
                <w:u w:val="single"/>
                <w14:textFill>
                  <w14:solidFill>
                    <w14:schemeClr w14:val="tx1"/>
                  </w14:solidFill>
                </w14:textFill>
              </w:rPr>
              <w:fldChar w:fldCharType="end"/>
            </w:r>
            <w:r>
              <w:rPr>
                <w:rFonts w:ascii="Arial" w:hAnsi="Arial" w:cs="Arial"/>
                <w:b/>
                <w:color w:val="000000" w:themeColor="text1"/>
                <w:szCs w:val="24"/>
                <w14:textFill>
                  <w14:solidFill>
                    <w14:schemeClr w14:val="tx1"/>
                  </w14:solidFill>
                </w14:textFill>
              </w:rPr>
              <w:t xml:space="preserve"> </w:t>
            </w:r>
          </w:p>
        </w:tc>
      </w:tr>
      <w:tr w14:paraId="2A128FFE">
        <w:tblPrEx>
          <w:tblCellMar>
            <w:top w:w="15" w:type="dxa"/>
            <w:left w:w="15" w:type="dxa"/>
            <w:bottom w:w="15" w:type="dxa"/>
            <w:right w:w="15" w:type="dxa"/>
          </w:tblCellMar>
        </w:tblPrEx>
        <w:trPr>
          <w:tblCellSpacing w:w="15" w:type="dxa"/>
        </w:trPr>
        <w:tc>
          <w:tcPr>
            <w:tcW w:w="0" w:type="auto"/>
            <w:noWrap w:val="0"/>
            <w:vAlign w:val="center"/>
          </w:tcPr>
          <w:p w14:paraId="36119763">
            <w:pPr>
              <w:numPr>
                <w:ilvl w:val="0"/>
                <w:numId w:val="2"/>
              </w:numPr>
              <w:spacing w:after="160" w:line="259" w:lineRule="auto"/>
              <w:rPr>
                <w:rFonts w:ascii="Arial" w:hAnsi="Arial" w:cs="Arial"/>
                <w:b/>
                <w:color w:val="000000" w:themeColor="text1"/>
                <w:szCs w:val="24"/>
                <w14:textFill>
                  <w14:solidFill>
                    <w14:schemeClr w14:val="tx1"/>
                  </w14:solidFill>
                </w14:textFill>
              </w:rPr>
            </w:pPr>
            <w:r>
              <w:rPr>
                <w:rFonts w:ascii="Arial" w:hAnsi="Arial" w:cs="Arial"/>
                <w:b/>
                <w:color w:val="000000" w:themeColor="text1"/>
                <w:szCs w:val="24"/>
                <w:u w:val="single"/>
                <w14:textFill>
                  <w14:solidFill>
                    <w14:schemeClr w14:val="tx1"/>
                  </w14:solidFill>
                </w14:textFill>
              </w:rPr>
              <w:fldChar w:fldCharType="begin"/>
            </w:r>
            <w:r>
              <w:rPr>
                <w:rFonts w:ascii="Arial" w:hAnsi="Arial" w:cs="Arial"/>
                <w:b/>
                <w:color w:val="000000" w:themeColor="text1"/>
                <w:szCs w:val="24"/>
                <w:u w:val="single"/>
                <w14:textFill>
                  <w14:solidFill>
                    <w14:schemeClr w14:val="tx1"/>
                  </w14:solidFill>
                </w14:textFill>
              </w:rPr>
              <w:instrText xml:space="preserve"> HYPERLINK "http://www.sectorspdr.com/sectorspdr/sector/xlk" </w:instrText>
            </w:r>
            <w:r>
              <w:rPr>
                <w:rFonts w:ascii="Arial" w:hAnsi="Arial" w:cs="Arial"/>
                <w:b/>
                <w:color w:val="000000" w:themeColor="text1"/>
                <w:szCs w:val="24"/>
                <w:u w:val="single"/>
                <w14:textFill>
                  <w14:solidFill>
                    <w14:schemeClr w14:val="tx1"/>
                  </w14:solidFill>
                </w14:textFill>
              </w:rPr>
              <w:fldChar w:fldCharType="separate"/>
            </w:r>
            <w:r>
              <w:rPr>
                <w:rFonts w:ascii="Arial" w:hAnsi="Arial" w:cs="Arial"/>
                <w:b/>
                <w:color w:val="000000" w:themeColor="text1"/>
                <w:szCs w:val="24"/>
                <w:u w:val="single"/>
                <w14:textFill>
                  <w14:solidFill>
                    <w14:schemeClr w14:val="tx1"/>
                  </w14:solidFill>
                </w14:textFill>
              </w:rPr>
              <w:t>Technology (XLK)</w:t>
            </w:r>
            <w:r>
              <w:rPr>
                <w:rFonts w:ascii="Arial" w:hAnsi="Arial" w:cs="Arial"/>
                <w:b/>
                <w:color w:val="000000" w:themeColor="text1"/>
                <w:szCs w:val="24"/>
                <w:u w:val="single"/>
                <w14:textFill>
                  <w14:solidFill>
                    <w14:schemeClr w14:val="tx1"/>
                  </w14:solidFill>
                </w14:textFill>
              </w:rPr>
              <w:fldChar w:fldCharType="end"/>
            </w:r>
            <w:r>
              <w:rPr>
                <w:rFonts w:ascii="Arial" w:hAnsi="Arial" w:cs="Arial"/>
                <w:b/>
                <w:color w:val="000000" w:themeColor="text1"/>
                <w:szCs w:val="24"/>
                <w14:textFill>
                  <w14:solidFill>
                    <w14:schemeClr w14:val="tx1"/>
                  </w14:solidFill>
                </w14:textFill>
              </w:rPr>
              <w:t xml:space="preserve"> </w:t>
            </w:r>
          </w:p>
        </w:tc>
      </w:tr>
      <w:tr w14:paraId="0DC57724">
        <w:tblPrEx>
          <w:tblCellMar>
            <w:top w:w="15" w:type="dxa"/>
            <w:left w:w="15" w:type="dxa"/>
            <w:bottom w:w="15" w:type="dxa"/>
            <w:right w:w="15" w:type="dxa"/>
          </w:tblCellMar>
        </w:tblPrEx>
        <w:trPr>
          <w:tblCellSpacing w:w="15" w:type="dxa"/>
        </w:trPr>
        <w:tc>
          <w:tcPr>
            <w:tcW w:w="0" w:type="auto"/>
            <w:noWrap w:val="0"/>
            <w:vAlign w:val="center"/>
          </w:tcPr>
          <w:p w14:paraId="1C011294">
            <w:pPr>
              <w:numPr>
                <w:ilvl w:val="0"/>
                <w:numId w:val="2"/>
              </w:numPr>
              <w:spacing w:after="160" w:line="259" w:lineRule="auto"/>
              <w:rPr>
                <w:rFonts w:ascii="Arial" w:hAnsi="Arial" w:cs="Arial"/>
                <w:b/>
                <w:color w:val="000000" w:themeColor="text1"/>
                <w:szCs w:val="24"/>
                <w:u w:val="single"/>
                <w14:textFill>
                  <w14:solidFill>
                    <w14:schemeClr w14:val="tx1"/>
                  </w14:solidFill>
                </w14:textFill>
              </w:rPr>
            </w:pPr>
            <w:r>
              <w:rPr>
                <w:rFonts w:ascii="Arial" w:hAnsi="Arial" w:cs="Arial"/>
                <w:b/>
                <w:color w:val="000000" w:themeColor="text1"/>
                <w:szCs w:val="24"/>
                <w:u w:val="single"/>
                <w14:textFill>
                  <w14:solidFill>
                    <w14:schemeClr w14:val="tx1"/>
                  </w14:solidFill>
                </w14:textFill>
              </w:rPr>
              <w:fldChar w:fldCharType="begin"/>
            </w:r>
            <w:r>
              <w:rPr>
                <w:rFonts w:ascii="Arial" w:hAnsi="Arial" w:cs="Arial"/>
                <w:b/>
                <w:color w:val="000000" w:themeColor="text1"/>
                <w:szCs w:val="24"/>
                <w:u w:val="single"/>
                <w14:textFill>
                  <w14:solidFill>
                    <w14:schemeClr w14:val="tx1"/>
                  </w14:solidFill>
                </w14:textFill>
              </w:rPr>
              <w:instrText xml:space="preserve"> HYPERLINK "http://www.sectorspdr.com/sectorspdr/sector/xlu" </w:instrText>
            </w:r>
            <w:r>
              <w:rPr>
                <w:rFonts w:ascii="Arial" w:hAnsi="Arial" w:cs="Arial"/>
                <w:b/>
                <w:color w:val="000000" w:themeColor="text1"/>
                <w:szCs w:val="24"/>
                <w:u w:val="single"/>
                <w14:textFill>
                  <w14:solidFill>
                    <w14:schemeClr w14:val="tx1"/>
                  </w14:solidFill>
                </w14:textFill>
              </w:rPr>
              <w:fldChar w:fldCharType="separate"/>
            </w:r>
            <w:r>
              <w:rPr>
                <w:rFonts w:ascii="Arial" w:hAnsi="Arial" w:cs="Arial"/>
                <w:b/>
                <w:color w:val="000000" w:themeColor="text1"/>
                <w:szCs w:val="24"/>
                <w:u w:val="single"/>
                <w14:textFill>
                  <w14:solidFill>
                    <w14:schemeClr w14:val="tx1"/>
                  </w14:solidFill>
                </w14:textFill>
              </w:rPr>
              <w:t>Utilities (XLU)</w:t>
            </w:r>
            <w:r>
              <w:rPr>
                <w:rFonts w:ascii="Arial" w:hAnsi="Arial" w:cs="Arial"/>
                <w:b/>
                <w:color w:val="000000" w:themeColor="text1"/>
                <w:szCs w:val="24"/>
                <w:u w:val="single"/>
                <w14:textFill>
                  <w14:solidFill>
                    <w14:schemeClr w14:val="tx1"/>
                  </w14:solidFill>
                </w14:textFill>
              </w:rPr>
              <w:fldChar w:fldCharType="end"/>
            </w:r>
          </w:p>
          <w:p w14:paraId="56BC605F">
            <w:pPr>
              <w:numPr>
                <w:ilvl w:val="0"/>
                <w:numId w:val="2"/>
              </w:numPr>
              <w:spacing w:after="160" w:line="259" w:lineRule="auto"/>
              <w:rPr>
                <w:rFonts w:ascii="Arial" w:hAnsi="Arial" w:cs="Arial"/>
                <w:b/>
                <w:color w:val="000000" w:themeColor="text1"/>
                <w:szCs w:val="24"/>
                <w:u w:val="single"/>
                <w14:textFill>
                  <w14:solidFill>
                    <w14:schemeClr w14:val="tx1"/>
                  </w14:solidFill>
                </w14:textFill>
              </w:rPr>
            </w:pPr>
            <w:r>
              <w:rPr>
                <w:rFonts w:ascii="Arial" w:hAnsi="Arial" w:cs="Arial"/>
                <w:b/>
                <w:color w:val="000000" w:themeColor="text1"/>
                <w:szCs w:val="24"/>
                <w:u w:val="single"/>
                <w14:textFill>
                  <w14:solidFill>
                    <w14:schemeClr w14:val="tx1"/>
                  </w14:solidFill>
                </w14:textFill>
              </w:rPr>
              <w:t>Communications (XLC)</w:t>
            </w:r>
          </w:p>
        </w:tc>
      </w:tr>
    </w:tbl>
    <w:p w14:paraId="43240DF4">
      <w:pPr>
        <w:spacing w:before="100" w:beforeAutospacing="1" w:after="100" w:afterAutospacing="1"/>
        <w:jc w:val="center"/>
        <w:rPr>
          <w:rFonts w:ascii="Arial" w:hAnsi="Arial" w:cs="Arial"/>
          <w:sz w:val="28"/>
          <w:szCs w:val="28"/>
        </w:rPr>
      </w:pPr>
      <w:r>
        <w:rPr>
          <w:rFonts w:ascii="Arial" w:hAnsi="Arial" w:cs="Arial"/>
          <w:b/>
          <w:bCs/>
          <w:i w:val="0"/>
          <w:iCs w:val="0"/>
          <w:sz w:val="28"/>
          <w:szCs w:val="28"/>
        </w:rPr>
        <w:t>Inverse Exchange-Traded Funds</w:t>
      </w:r>
    </w:p>
    <w:p w14:paraId="43D05CA2">
      <w:pPr>
        <w:spacing w:before="100" w:beforeAutospacing="1" w:after="100" w:afterAutospacing="1"/>
        <w:rPr>
          <w:rFonts w:ascii="Arial" w:hAnsi="Arial" w:cs="Arial"/>
          <w:sz w:val="24"/>
          <w:szCs w:val="24"/>
        </w:rPr>
      </w:pPr>
      <w:r>
        <w:rPr>
          <w:rFonts w:ascii="Arial" w:hAnsi="Arial" w:cs="Arial"/>
          <w:sz w:val="24"/>
          <w:szCs w:val="24"/>
        </w:rPr>
        <w:t xml:space="preserve">Inverse ETFs use derivatives to bet against the direction of financial markets. These are known as </w:t>
      </w:r>
      <w:r>
        <w:rPr>
          <w:rFonts w:ascii="Arial" w:hAnsi="Arial" w:cs="Arial"/>
          <w:i/>
          <w:iCs/>
          <w:sz w:val="24"/>
          <w:szCs w:val="24"/>
        </w:rPr>
        <w:t xml:space="preserve">short </w:t>
      </w:r>
      <w:r>
        <w:rPr>
          <w:rFonts w:ascii="Arial" w:hAnsi="Arial" w:cs="Arial"/>
          <w:sz w:val="24"/>
          <w:szCs w:val="24"/>
        </w:rPr>
        <w:t xml:space="preserve">or </w:t>
      </w:r>
      <w:r>
        <w:rPr>
          <w:rFonts w:ascii="Arial" w:hAnsi="Arial" w:cs="Arial"/>
          <w:i/>
          <w:iCs/>
          <w:sz w:val="24"/>
          <w:szCs w:val="24"/>
        </w:rPr>
        <w:t>bear ETFs</w:t>
      </w:r>
      <w:r>
        <w:rPr>
          <w:rFonts w:ascii="Arial" w:hAnsi="Arial" w:cs="Arial"/>
          <w:sz w:val="24"/>
          <w:szCs w:val="24"/>
        </w:rPr>
        <w:t xml:space="preserve"> and will make money if markets decline in value. </w:t>
      </w:r>
      <w:r>
        <w:rPr>
          <w:rFonts w:ascii="Arial" w:hAnsi="Arial" w:cs="Arial"/>
          <w:b/>
          <w:bCs/>
          <w:sz w:val="24"/>
          <w:szCs w:val="24"/>
        </w:rPr>
        <w:t>They will lose money, however, if markets move against the bet</w:t>
      </w:r>
      <w:r>
        <w:rPr>
          <w:rFonts w:ascii="Arial" w:hAnsi="Arial" w:cs="Arial"/>
          <w:sz w:val="24"/>
          <w:szCs w:val="24"/>
        </w:rPr>
        <w:t>.  </w:t>
      </w:r>
      <w:r>
        <w:rPr>
          <w:rFonts w:ascii="Arial" w:hAnsi="Arial" w:cs="Arial"/>
          <w:sz w:val="24"/>
          <w:szCs w:val="24"/>
          <w:u w:val="single"/>
        </w:rPr>
        <w:t>Covered call writers who have a bearish market outlook may find these funds useful</w:t>
      </w:r>
      <w:r>
        <w:rPr>
          <w:rFonts w:ascii="Arial" w:hAnsi="Arial" w:cs="Arial"/>
          <w:sz w:val="24"/>
          <w:szCs w:val="24"/>
        </w:rPr>
        <w:t xml:space="preserve">. </w:t>
      </w:r>
      <w:r>
        <w:rPr>
          <w:rFonts w:ascii="Arial" w:hAnsi="Arial" w:cs="Arial"/>
          <w:sz w:val="24"/>
          <w:szCs w:val="24"/>
          <w:highlight w:val="yellow"/>
        </w:rPr>
        <w:t>Inverse ETFs will UNDERPERFORM in normal market conditions.</w:t>
      </w:r>
      <w:r>
        <w:rPr>
          <w:rFonts w:ascii="Arial" w:hAnsi="Arial" w:cs="Arial"/>
          <w:sz w:val="24"/>
          <w:szCs w:val="24"/>
        </w:rPr>
        <w:t xml:space="preserve"> The following inverse ETFs will be analyzed and compared to the S&amp;P 500 in the spreadsheet:</w:t>
      </w:r>
    </w:p>
    <w:p w14:paraId="5392B4A2">
      <w:pPr>
        <w:spacing w:before="100" w:beforeAutospacing="1" w:after="100" w:afterAutospacing="1"/>
        <w:rPr>
          <w:rFonts w:ascii="Arial" w:hAnsi="Arial" w:cs="Arial"/>
          <w:b/>
          <w:sz w:val="24"/>
          <w:szCs w:val="24"/>
        </w:rPr>
      </w:pPr>
      <w:r>
        <w:rPr>
          <w:rFonts w:ascii="Arial" w:hAnsi="Arial" w:cs="Arial"/>
          <w:b/>
          <w:sz w:val="24"/>
          <w:szCs w:val="24"/>
        </w:rPr>
        <w:t xml:space="preserve">PSQ: </w:t>
      </w:r>
      <w:r>
        <w:rPr>
          <w:rFonts w:ascii="Arial" w:hAnsi="Arial" w:cs="Arial"/>
          <w:b w:val="0"/>
          <w:bCs/>
          <w:sz w:val="24"/>
          <w:szCs w:val="24"/>
        </w:rPr>
        <w:t>Short QQQ (Nasdaq-100)</w:t>
      </w:r>
    </w:p>
    <w:p w14:paraId="592ACB81">
      <w:pPr>
        <w:spacing w:before="100" w:beforeAutospacing="1" w:after="100" w:afterAutospacing="1"/>
        <w:rPr>
          <w:rFonts w:ascii="Arial" w:hAnsi="Arial" w:cs="Arial"/>
          <w:b/>
          <w:sz w:val="24"/>
          <w:szCs w:val="24"/>
        </w:rPr>
      </w:pPr>
      <w:r>
        <w:rPr>
          <w:rFonts w:ascii="Arial" w:hAnsi="Arial" w:cs="Arial"/>
          <w:b/>
          <w:sz w:val="24"/>
          <w:szCs w:val="24"/>
        </w:rPr>
        <w:t xml:space="preserve">DOG: </w:t>
      </w:r>
      <w:r>
        <w:rPr>
          <w:rFonts w:ascii="Arial" w:hAnsi="Arial" w:cs="Arial"/>
          <w:b w:val="0"/>
          <w:bCs/>
          <w:sz w:val="24"/>
          <w:szCs w:val="24"/>
        </w:rPr>
        <w:t>Short Dow 30 (DJIA)</w:t>
      </w:r>
    </w:p>
    <w:p w14:paraId="2F3F7C3A">
      <w:pPr>
        <w:spacing w:before="100" w:beforeAutospacing="1" w:after="100" w:afterAutospacing="1"/>
        <w:rPr>
          <w:rFonts w:ascii="Arial" w:hAnsi="Arial" w:cs="Arial"/>
          <w:b/>
          <w:sz w:val="24"/>
          <w:szCs w:val="24"/>
        </w:rPr>
      </w:pPr>
      <w:r>
        <w:rPr>
          <w:rFonts w:ascii="Arial" w:hAnsi="Arial" w:cs="Arial"/>
          <w:b/>
          <w:sz w:val="24"/>
          <w:szCs w:val="24"/>
        </w:rPr>
        <w:t xml:space="preserve">SH: </w:t>
      </w:r>
      <w:r>
        <w:rPr>
          <w:rFonts w:ascii="Arial" w:hAnsi="Arial" w:cs="Arial"/>
          <w:b w:val="0"/>
          <w:bCs/>
          <w:sz w:val="24"/>
          <w:szCs w:val="24"/>
        </w:rPr>
        <w:t>Short S&amp;P 500 (S&amp;P 500)</w:t>
      </w:r>
    </w:p>
    <w:p w14:paraId="67BA01D2">
      <w:pPr>
        <w:spacing w:before="100" w:beforeAutospacing="1" w:after="100" w:afterAutospacing="1"/>
        <w:rPr>
          <w:rFonts w:ascii="Arial" w:hAnsi="Arial" w:cs="Arial"/>
          <w:b/>
          <w:sz w:val="24"/>
          <w:szCs w:val="24"/>
        </w:rPr>
      </w:pPr>
      <w:r>
        <w:rPr>
          <w:rFonts w:ascii="Arial" w:hAnsi="Arial" w:cs="Arial"/>
          <w:b/>
          <w:sz w:val="24"/>
          <w:szCs w:val="24"/>
        </w:rPr>
        <w:t xml:space="preserve">RWM: </w:t>
      </w:r>
      <w:r>
        <w:rPr>
          <w:rFonts w:ascii="Arial" w:hAnsi="Arial" w:cs="Arial"/>
          <w:b w:val="0"/>
          <w:bCs/>
          <w:sz w:val="24"/>
          <w:szCs w:val="24"/>
        </w:rPr>
        <w:t>Short Russell 2000 (Russell 2000)</w:t>
      </w:r>
    </w:p>
    <w:p w14:paraId="54DD53F6">
      <w:pPr>
        <w:spacing w:before="100" w:beforeAutospacing="1" w:after="100" w:afterAutospacing="1"/>
        <w:jc w:val="center"/>
        <w:rPr>
          <w:rFonts w:ascii="Arial" w:hAnsi="Arial" w:cs="Arial"/>
          <w:b/>
          <w:bCs w:val="0"/>
          <w:i w:val="0"/>
          <w:iCs w:val="0"/>
          <w:sz w:val="28"/>
          <w:szCs w:val="28"/>
        </w:rPr>
      </w:pPr>
      <w:r>
        <w:rPr>
          <w:rFonts w:hint="default" w:ascii="Arial" w:hAnsi="Arial" w:cs="Arial"/>
          <w:b/>
          <w:bCs w:val="0"/>
          <w:i w:val="0"/>
          <w:iCs w:val="0"/>
          <w:sz w:val="28"/>
          <w:szCs w:val="28"/>
          <w:lang w:val="en-US"/>
        </w:rPr>
        <w:t>C</w:t>
      </w:r>
      <w:r>
        <w:rPr>
          <w:rFonts w:ascii="Arial" w:hAnsi="Arial" w:cs="Arial"/>
          <w:b/>
          <w:bCs w:val="0"/>
          <w:i w:val="0"/>
          <w:iCs w:val="0"/>
          <w:sz w:val="28"/>
          <w:szCs w:val="28"/>
        </w:rPr>
        <w:t>urrent Implied Volatility (IV) of Eligible ETFs</w:t>
      </w:r>
    </w:p>
    <w:p w14:paraId="25AE2901">
      <w:pPr>
        <w:spacing w:before="100" w:beforeAutospacing="1" w:after="100" w:afterAutospacing="1"/>
        <w:rPr>
          <w:rFonts w:ascii="Arial" w:hAnsi="Arial" w:cs="Arial"/>
          <w:sz w:val="24"/>
          <w:szCs w:val="24"/>
        </w:rPr>
      </w:pPr>
      <w:r>
        <w:rPr>
          <w:rFonts w:ascii="Arial" w:hAnsi="Arial" w:cs="Arial"/>
          <w:sz w:val="24"/>
          <w:szCs w:val="24"/>
        </w:rPr>
        <w:t>Implied volatility is a forecast of the underlying security’s volatility as implied by the options price in the marketplace. It measures potential risk. Generally, the higher the IV, the greater the risk and the higher the premiums. We also show the current IV of the S&amp;P 500 as a means of comparison.</w:t>
      </w:r>
    </w:p>
    <w:p w14:paraId="3AED7207">
      <w:pPr>
        <w:spacing w:before="100" w:beforeAutospacing="1" w:after="100" w:afterAutospacing="1"/>
        <w:rPr>
          <w:rFonts w:ascii="Arial" w:hAnsi="Arial" w:cs="Arial"/>
          <w:i/>
          <w:sz w:val="24"/>
          <w:szCs w:val="24"/>
        </w:rPr>
      </w:pPr>
      <w:r>
        <w:rPr>
          <w:rFonts w:ascii="Arial" w:hAnsi="Arial" w:cs="Arial"/>
          <w:i/>
          <w:sz w:val="24"/>
          <w:szCs w:val="24"/>
        </w:rPr>
        <w:t>We use a weighted average of implied volatility using put and call options. This ETF Report as well as our premium Stock Reports can be used for both covered call writing and selling cash-secured puts.</w:t>
      </w:r>
    </w:p>
    <w:p w14:paraId="7DB11F8A">
      <w:pPr>
        <w:rPr>
          <w:rFonts w:ascii="Arial" w:hAnsi="Arial" w:cs="Arial"/>
          <w:color w:val="FF0000"/>
          <w:sz w:val="24"/>
          <w:szCs w:val="24"/>
        </w:rPr>
      </w:pPr>
    </w:p>
    <w:p w14:paraId="2E8D4961">
      <w:pPr>
        <w:rPr>
          <w:rFonts w:ascii="Arial" w:hAnsi="Arial" w:cs="Arial"/>
          <w:color w:val="FF0000"/>
          <w:sz w:val="24"/>
          <w:szCs w:val="24"/>
        </w:rPr>
      </w:pPr>
      <w:r>
        <w:rPr>
          <w:rFonts w:ascii="Arial" w:hAnsi="Arial" w:cs="Arial"/>
          <w:color w:val="FF0000"/>
          <w:sz w:val="24"/>
          <w:szCs w:val="24"/>
        </w:rPr>
        <w:t>Our positions are managed by our BCI exit strategy guidelines NOT by a security being removed from last week’s (month’s) report. If we need a replacement stock for a new position, use the most recent report.</w:t>
      </w:r>
    </w:p>
    <w:p w14:paraId="09CFB077">
      <w:pPr>
        <w:rPr>
          <w:rFonts w:ascii="Arial" w:hAnsi="Arial" w:cs="Arial"/>
          <w:color w:val="FF0000"/>
          <w:sz w:val="28"/>
          <w:szCs w:val="28"/>
        </w:rPr>
      </w:pPr>
    </w:p>
    <w:p w14:paraId="30A595ED">
      <w:pPr>
        <w:rPr>
          <w:rFonts w:hint="default"/>
          <w:color w:val="0000FF"/>
          <w:sz w:val="22"/>
          <w:szCs w:val="22"/>
          <w:lang w:val="en-US"/>
        </w:rPr>
      </w:pPr>
    </w:p>
    <w:p w14:paraId="65C794EA">
      <w:pPr>
        <w:spacing w:before="100" w:beforeAutospacing="1" w:after="100" w:afterAutospacing="1"/>
        <w:jc w:val="center"/>
        <w:rPr>
          <w:rFonts w:hint="default" w:ascii="Arial" w:hAnsi="Arial" w:cs="Arial"/>
          <w:b/>
          <w:sz w:val="28"/>
          <w:szCs w:val="40"/>
          <w:u w:val="none"/>
          <w:lang w:val="en-US"/>
        </w:rPr>
        <w:sectPr>
          <w:pgSz w:w="11906" w:h="16838"/>
          <w:pgMar w:top="1008" w:right="1080" w:bottom="1008" w:left="1080" w:header="720" w:footer="720" w:gutter="0"/>
          <w:cols w:space="720" w:num="1"/>
          <w:docGrid w:linePitch="360" w:charSpace="0"/>
        </w:sectPr>
      </w:pPr>
    </w:p>
    <w:p w14:paraId="67437AD2">
      <w:pPr>
        <w:spacing w:before="100" w:beforeAutospacing="1" w:after="100" w:afterAutospacing="1"/>
        <w:jc w:val="center"/>
        <w:rPr>
          <w:rFonts w:hint="default" w:ascii="Arial" w:hAnsi="Arial" w:cs="Arial"/>
          <w:b/>
          <w:sz w:val="28"/>
          <w:szCs w:val="40"/>
          <w:u w:val="none"/>
          <w:lang w:val="en-US"/>
        </w:rPr>
      </w:pPr>
    </w:p>
    <w:p w14:paraId="6255CFCE">
      <w:pPr>
        <w:rPr>
          <w:sz w:val="22"/>
          <w:szCs w:val="22"/>
        </w:rPr>
      </w:pPr>
    </w:p>
    <w:sectPr>
      <w:pgSz w:w="11906" w:h="16838"/>
      <w:pgMar w:top="1008" w:right="1080" w:bottom="1008" w:left="108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rial Black">
    <w:panose1 w:val="020B0A04020102020204"/>
    <w:charset w:val="00"/>
    <w:family w:val="auto"/>
    <w:pitch w:val="default"/>
    <w:sig w:usb0="A00002AF" w:usb1="400078FB" w:usb2="00000000" w:usb3="00000000" w:csb0="6000009F" w:csb1="DFD70000"/>
  </w:font>
  <w:font w:name="Verdana">
    <w:panose1 w:val="020B0604030504040204"/>
    <w:charset w:val="00"/>
    <w:family w:val="swiss"/>
    <w:pitch w:val="default"/>
    <w:sig w:usb0="A00006FF" w:usb1="4000205B" w:usb2="00000010" w:usb3="00000000" w:csb0="2000019F"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265E20"/>
    <w:multiLevelType w:val="multilevel"/>
    <w:tmpl w:val="12265E2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31356CC2"/>
    <w:multiLevelType w:val="multilevel"/>
    <w:tmpl w:val="31356CC2"/>
    <w:lvl w:ilvl="0" w:tentative="0">
      <w:start w:val="1"/>
      <w:numFmt w:val="bullet"/>
      <w:lvlText w:val=""/>
      <w:lvlJc w:val="left"/>
      <w:pPr>
        <w:tabs>
          <w:tab w:val="left" w:pos="1260"/>
        </w:tabs>
        <w:ind w:left="1980" w:hanging="360"/>
      </w:pPr>
      <w:rPr>
        <w:rFonts w:hint="default" w:ascii="Symbol" w:hAnsi="Symbol"/>
      </w:rPr>
    </w:lvl>
    <w:lvl w:ilvl="1" w:tentative="0">
      <w:start w:val="1"/>
      <w:numFmt w:val="bullet"/>
      <w:lvlText w:val="o"/>
      <w:lvlJc w:val="left"/>
      <w:pPr>
        <w:tabs>
          <w:tab w:val="left" w:pos="1260"/>
        </w:tabs>
        <w:ind w:left="2700" w:hanging="360"/>
      </w:pPr>
      <w:rPr>
        <w:rFonts w:hint="default" w:ascii="Courier New" w:hAnsi="Courier New" w:cs="Courier New"/>
      </w:rPr>
    </w:lvl>
    <w:lvl w:ilvl="2" w:tentative="0">
      <w:start w:val="1"/>
      <w:numFmt w:val="bullet"/>
      <w:lvlText w:val=""/>
      <w:lvlJc w:val="left"/>
      <w:pPr>
        <w:tabs>
          <w:tab w:val="left" w:pos="1260"/>
        </w:tabs>
        <w:ind w:left="3420" w:hanging="360"/>
      </w:pPr>
      <w:rPr>
        <w:rFonts w:hint="default" w:ascii="Wingdings" w:hAnsi="Wingdings"/>
      </w:rPr>
    </w:lvl>
    <w:lvl w:ilvl="3" w:tentative="0">
      <w:start w:val="1"/>
      <w:numFmt w:val="bullet"/>
      <w:lvlText w:val=""/>
      <w:lvlJc w:val="left"/>
      <w:pPr>
        <w:tabs>
          <w:tab w:val="left" w:pos="1260"/>
        </w:tabs>
        <w:ind w:left="4140" w:hanging="360"/>
      </w:pPr>
      <w:rPr>
        <w:rFonts w:hint="default" w:ascii="Symbol" w:hAnsi="Symbol"/>
      </w:rPr>
    </w:lvl>
    <w:lvl w:ilvl="4" w:tentative="0">
      <w:start w:val="1"/>
      <w:numFmt w:val="bullet"/>
      <w:lvlText w:val="o"/>
      <w:lvlJc w:val="left"/>
      <w:pPr>
        <w:tabs>
          <w:tab w:val="left" w:pos="1260"/>
        </w:tabs>
        <w:ind w:left="4860" w:hanging="360"/>
      </w:pPr>
      <w:rPr>
        <w:rFonts w:hint="default" w:ascii="Courier New" w:hAnsi="Courier New" w:cs="Courier New"/>
      </w:rPr>
    </w:lvl>
    <w:lvl w:ilvl="5" w:tentative="0">
      <w:start w:val="1"/>
      <w:numFmt w:val="bullet"/>
      <w:lvlText w:val=""/>
      <w:lvlJc w:val="left"/>
      <w:pPr>
        <w:tabs>
          <w:tab w:val="left" w:pos="1260"/>
        </w:tabs>
        <w:ind w:left="5580" w:hanging="360"/>
      </w:pPr>
      <w:rPr>
        <w:rFonts w:hint="default" w:ascii="Wingdings" w:hAnsi="Wingdings"/>
      </w:rPr>
    </w:lvl>
    <w:lvl w:ilvl="6" w:tentative="0">
      <w:start w:val="1"/>
      <w:numFmt w:val="bullet"/>
      <w:lvlText w:val=""/>
      <w:lvlJc w:val="left"/>
      <w:pPr>
        <w:tabs>
          <w:tab w:val="left" w:pos="1260"/>
        </w:tabs>
        <w:ind w:left="6300" w:hanging="360"/>
      </w:pPr>
      <w:rPr>
        <w:rFonts w:hint="default" w:ascii="Symbol" w:hAnsi="Symbol"/>
      </w:rPr>
    </w:lvl>
    <w:lvl w:ilvl="7" w:tentative="0">
      <w:start w:val="1"/>
      <w:numFmt w:val="bullet"/>
      <w:lvlText w:val="o"/>
      <w:lvlJc w:val="left"/>
      <w:pPr>
        <w:tabs>
          <w:tab w:val="left" w:pos="1260"/>
        </w:tabs>
        <w:ind w:left="7020" w:hanging="360"/>
      </w:pPr>
      <w:rPr>
        <w:rFonts w:hint="default" w:ascii="Courier New" w:hAnsi="Courier New" w:cs="Courier New"/>
      </w:rPr>
    </w:lvl>
    <w:lvl w:ilvl="8" w:tentative="0">
      <w:start w:val="1"/>
      <w:numFmt w:val="bullet"/>
      <w:lvlText w:val=""/>
      <w:lvlJc w:val="left"/>
      <w:pPr>
        <w:tabs>
          <w:tab w:val="left" w:pos="1260"/>
        </w:tabs>
        <w:ind w:left="774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8A7500"/>
    <w:rsid w:val="308A75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18"/>
    </w:rPr>
  </w:style>
  <w:style w:type="character" w:styleId="5">
    <w:name w:val="Hyperlink"/>
    <w:qFormat/>
    <w:uiPriority w:val="0"/>
    <w:rPr>
      <w:color w:val="0000FF"/>
      <w:u w:val="single"/>
    </w:rPr>
  </w:style>
  <w:style w:type="paragraph" w:styleId="6">
    <w:name w:val="Normal (Web)"/>
    <w:basedOn w:val="1"/>
    <w:qFormat/>
    <w:uiPriority w:val="99"/>
    <w:pPr>
      <w:spacing w:before="100" w:beforeAutospacing="1" w:after="100" w:afterAutospacing="1"/>
    </w:pPr>
    <w:rPr>
      <w:rFonts w:ascii="Verdana" w:hAnsi="Verdana"/>
      <w:color w:val="000000"/>
      <w:sz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2026-07-01T18:14:00Z</dcterms:created>
  <dc:creator>Barry Bergman</dc:creator>
  <cp:lastModifiedBy>Barry Bergman</cp:lastModifiedBy>
  <dcterms:modified xsi:type="dcterms:W3CDTF">2026-07-01T18:36:14Z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ICV">
    <vt:lpwstr>6687911A63DB438CA03DA54264278D44_11</vt:lpwstr>
  </property>
  <property fmtid="{D5CDD505-2E9C-101B-9397-08002B2CF9AE}" pid="4" name="KSOTemplateDocerSaveRecord">
    <vt:lpwstr>eyJoZGlkIjoiYmU1ZDdhNTg4MDU1Y2ZhM2U4MzFlOTllNjliZTY4YjIiLCJ1c2VySWQiOiIxNjY3MDM5MTQ1NDEwIn0=</vt:lpwstr>
  </property>
</Properties>
</file>